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DA253" w14:textId="77777777" w:rsidR="009D1AB4" w:rsidRPr="008D034F" w:rsidRDefault="009D1AB4" w:rsidP="005C3ADD">
      <w:pPr>
        <w:pStyle w:val="Heading3"/>
        <w:jc w:val="both"/>
        <w:rPr>
          <w:i/>
          <w:iCs/>
          <w:sz w:val="28"/>
          <w:szCs w:val="30"/>
        </w:rPr>
      </w:pPr>
      <w:bookmarkStart w:id="0" w:name="_Hlk113274806"/>
      <w:r w:rsidRPr="008D034F">
        <w:rPr>
          <w:sz w:val="28"/>
          <w:szCs w:val="30"/>
        </w:rPr>
        <w:t xml:space="preserve">Department of Conservation </w:t>
      </w:r>
      <w:r w:rsidRPr="008D034F">
        <w:rPr>
          <w:i/>
          <w:iCs/>
          <w:sz w:val="28"/>
          <w:szCs w:val="30"/>
        </w:rPr>
        <w:t>Te Papa Atawhai</w:t>
      </w:r>
    </w:p>
    <w:p w14:paraId="7B894A0D" w14:textId="77777777" w:rsidR="009D1AB4" w:rsidRPr="008D034F" w:rsidRDefault="009D1AB4" w:rsidP="0055040F">
      <w:pPr>
        <w:pStyle w:val="Body"/>
        <w:jc w:val="both"/>
        <w:rPr>
          <w:sz w:val="24"/>
          <w:szCs w:val="28"/>
        </w:rPr>
      </w:pPr>
      <w:r>
        <w:rPr>
          <w:sz w:val="24"/>
          <w:szCs w:val="28"/>
        </w:rPr>
        <w:t>Role</w:t>
      </w:r>
      <w:r w:rsidRPr="008D034F">
        <w:rPr>
          <w:sz w:val="24"/>
          <w:szCs w:val="28"/>
        </w:rPr>
        <w:t xml:space="preserve"> Description</w:t>
      </w:r>
    </w:p>
    <w:p w14:paraId="5CEAD752" w14:textId="77777777" w:rsidR="009D1AB4" w:rsidRPr="006674E8" w:rsidRDefault="009D1AB4" w:rsidP="0055040F">
      <w:pPr>
        <w:pStyle w:val="Heading3"/>
        <w:jc w:val="both"/>
      </w:pPr>
      <w:r>
        <w:t>Role</w:t>
      </w:r>
      <w:r w:rsidRPr="006674E8">
        <w:t xml:space="preserve"> Details</w:t>
      </w:r>
    </w:p>
    <w:tbl>
      <w:tblPr>
        <w:tblStyle w:val="TableGrid"/>
        <w:tblW w:w="9498" w:type="dxa"/>
        <w:tblLook w:val="04A0" w:firstRow="1" w:lastRow="0" w:firstColumn="1" w:lastColumn="0" w:noHBand="0" w:noVBand="1"/>
      </w:tblPr>
      <w:tblGrid>
        <w:gridCol w:w="2972"/>
        <w:gridCol w:w="6526"/>
      </w:tblGrid>
      <w:tr w:rsidR="009D1AB4" w14:paraId="1043FC9D" w14:textId="77777777" w:rsidTr="00A522D9">
        <w:tc>
          <w:tcPr>
            <w:tcW w:w="2972" w:type="dxa"/>
            <w:vAlign w:val="center"/>
          </w:tcPr>
          <w:p w14:paraId="385355B5" w14:textId="77777777" w:rsidR="009D1AB4" w:rsidRDefault="009D1AB4" w:rsidP="0055040F">
            <w:pPr>
              <w:jc w:val="both"/>
            </w:pPr>
            <w:r w:rsidRPr="007275AF">
              <w:rPr>
                <w:rFonts w:cs="Arial"/>
                <w:szCs w:val="22"/>
              </w:rPr>
              <w:t>Title</w:t>
            </w:r>
          </w:p>
        </w:tc>
        <w:tc>
          <w:tcPr>
            <w:tcW w:w="6526" w:type="dxa"/>
          </w:tcPr>
          <w:p w14:paraId="700BD053" w14:textId="6FF05F20" w:rsidR="009D1AB4" w:rsidRDefault="00097408" w:rsidP="0055040F">
            <w:pPr>
              <w:jc w:val="both"/>
            </w:pPr>
            <w:r>
              <w:t>Senior Engagement</w:t>
            </w:r>
            <w:r w:rsidR="00620A1F">
              <w:t xml:space="preserve"> Advisor</w:t>
            </w:r>
          </w:p>
        </w:tc>
      </w:tr>
      <w:tr w:rsidR="009D1AB4" w14:paraId="20281522" w14:textId="77777777" w:rsidTr="00A522D9">
        <w:tc>
          <w:tcPr>
            <w:tcW w:w="2972" w:type="dxa"/>
            <w:vAlign w:val="center"/>
          </w:tcPr>
          <w:p w14:paraId="1B3EBB46" w14:textId="77777777" w:rsidR="009D1AB4" w:rsidRDefault="009D1AB4" w:rsidP="0055040F">
            <w:pPr>
              <w:jc w:val="both"/>
            </w:pPr>
            <w:r w:rsidRPr="007275AF">
              <w:rPr>
                <w:rFonts w:cs="Arial"/>
                <w:szCs w:val="22"/>
              </w:rPr>
              <w:t>Manager Title</w:t>
            </w:r>
          </w:p>
        </w:tc>
        <w:tc>
          <w:tcPr>
            <w:tcW w:w="6526" w:type="dxa"/>
          </w:tcPr>
          <w:p w14:paraId="50A334A9" w14:textId="21A8EEEC" w:rsidR="009D1AB4" w:rsidRDefault="00097408" w:rsidP="0055040F">
            <w:pPr>
              <w:jc w:val="both"/>
            </w:pPr>
            <w:r>
              <w:t>Engagement Manager</w:t>
            </w:r>
          </w:p>
        </w:tc>
      </w:tr>
      <w:tr w:rsidR="009D1AB4" w14:paraId="7460BC50" w14:textId="77777777" w:rsidTr="00A522D9">
        <w:tc>
          <w:tcPr>
            <w:tcW w:w="2972" w:type="dxa"/>
            <w:vAlign w:val="center"/>
          </w:tcPr>
          <w:p w14:paraId="3CBF75BF" w14:textId="7D7DDEAC" w:rsidR="009D1AB4" w:rsidRDefault="009D1AB4" w:rsidP="0055040F">
            <w:pPr>
              <w:jc w:val="both"/>
            </w:pPr>
            <w:r w:rsidRPr="007275AF">
              <w:rPr>
                <w:rFonts w:cs="Arial"/>
                <w:szCs w:val="22"/>
              </w:rPr>
              <w:t>Group</w:t>
            </w:r>
          </w:p>
        </w:tc>
        <w:tc>
          <w:tcPr>
            <w:tcW w:w="6526" w:type="dxa"/>
          </w:tcPr>
          <w:p w14:paraId="1814E34D" w14:textId="327CE58B" w:rsidR="009D1AB4" w:rsidRDefault="00097408" w:rsidP="0055040F">
            <w:pPr>
              <w:jc w:val="both"/>
            </w:pPr>
            <w:r>
              <w:t>Public Affairs</w:t>
            </w:r>
          </w:p>
        </w:tc>
      </w:tr>
      <w:tr w:rsidR="009D1AB4" w14:paraId="22235F02" w14:textId="77777777" w:rsidTr="00A522D9">
        <w:tc>
          <w:tcPr>
            <w:tcW w:w="2972" w:type="dxa"/>
            <w:vAlign w:val="center"/>
          </w:tcPr>
          <w:p w14:paraId="3E2543DF" w14:textId="66B4DD89" w:rsidR="009D1AB4" w:rsidRDefault="00231922" w:rsidP="0055040F">
            <w:pPr>
              <w:jc w:val="both"/>
              <w:rPr>
                <w:rFonts w:cs="Arial"/>
                <w:szCs w:val="22"/>
              </w:rPr>
            </w:pPr>
            <w:r>
              <w:rPr>
                <w:rFonts w:cs="Arial"/>
                <w:szCs w:val="22"/>
              </w:rPr>
              <w:t>Band</w:t>
            </w:r>
            <w:r w:rsidR="009D1AB4">
              <w:rPr>
                <w:rFonts w:cs="Arial"/>
                <w:szCs w:val="22"/>
              </w:rPr>
              <w:t xml:space="preserve"> </w:t>
            </w:r>
          </w:p>
        </w:tc>
        <w:tc>
          <w:tcPr>
            <w:tcW w:w="6526" w:type="dxa"/>
          </w:tcPr>
          <w:p w14:paraId="36A990C3" w14:textId="14137482" w:rsidR="009D1AB4" w:rsidRDefault="004434CD" w:rsidP="0055040F">
            <w:pPr>
              <w:jc w:val="both"/>
            </w:pPr>
            <w:r>
              <w:t>F</w:t>
            </w:r>
          </w:p>
        </w:tc>
      </w:tr>
      <w:tr w:rsidR="009D1AB4" w14:paraId="1EE25AAD" w14:textId="77777777" w:rsidTr="00A522D9">
        <w:tc>
          <w:tcPr>
            <w:tcW w:w="2972" w:type="dxa"/>
            <w:vAlign w:val="center"/>
          </w:tcPr>
          <w:p w14:paraId="73E2A7AB" w14:textId="77777777" w:rsidR="009D1AB4" w:rsidRDefault="009D1AB4" w:rsidP="0055040F">
            <w:pPr>
              <w:jc w:val="both"/>
            </w:pPr>
            <w:r w:rsidRPr="007275AF">
              <w:rPr>
                <w:rFonts w:cs="Arial"/>
                <w:szCs w:val="22"/>
              </w:rPr>
              <w:t>Date</w:t>
            </w:r>
          </w:p>
        </w:tc>
        <w:tc>
          <w:tcPr>
            <w:tcW w:w="6526" w:type="dxa"/>
          </w:tcPr>
          <w:p w14:paraId="594749AD" w14:textId="033E772B" w:rsidR="009D1AB4" w:rsidRDefault="002D03D7" w:rsidP="0055040F">
            <w:pPr>
              <w:jc w:val="both"/>
            </w:pPr>
            <w:r>
              <w:t>October 2022</w:t>
            </w:r>
          </w:p>
        </w:tc>
      </w:tr>
      <w:tr w:rsidR="009D1AB4" w14:paraId="7168DEAA" w14:textId="77777777" w:rsidTr="002D502A">
        <w:trPr>
          <w:trHeight w:val="319"/>
        </w:trPr>
        <w:tc>
          <w:tcPr>
            <w:tcW w:w="2972" w:type="dxa"/>
            <w:vAlign w:val="center"/>
          </w:tcPr>
          <w:p w14:paraId="6CBD56BE" w14:textId="77777777" w:rsidR="009D1AB4" w:rsidRDefault="009D1AB4" w:rsidP="0055040F">
            <w:pPr>
              <w:jc w:val="both"/>
            </w:pPr>
            <w:r>
              <w:rPr>
                <w:rFonts w:cs="Arial"/>
                <w:szCs w:val="22"/>
              </w:rPr>
              <w:t>Approved By</w:t>
            </w:r>
          </w:p>
        </w:tc>
        <w:tc>
          <w:tcPr>
            <w:tcW w:w="6526" w:type="dxa"/>
          </w:tcPr>
          <w:p w14:paraId="36B5A432" w14:textId="7777BEC0" w:rsidR="009D1AB4" w:rsidRPr="009E536F" w:rsidRDefault="000B492E" w:rsidP="0055040F">
            <w:pPr>
              <w:jc w:val="both"/>
            </w:pPr>
            <w:r>
              <w:t xml:space="preserve">Deputy </w:t>
            </w:r>
            <w:r w:rsidR="00ED20C0">
              <w:t>Director</w:t>
            </w:r>
            <w:r>
              <w:t>-General</w:t>
            </w:r>
            <w:r w:rsidR="00ED20C0">
              <w:t xml:space="preserve"> </w:t>
            </w:r>
            <w:r w:rsidR="00097408">
              <w:t>Public Affairs</w:t>
            </w:r>
          </w:p>
        </w:tc>
      </w:tr>
    </w:tbl>
    <w:bookmarkEnd w:id="0"/>
    <w:p w14:paraId="5F330B0E" w14:textId="77777777" w:rsidR="009D1AB4" w:rsidRDefault="009D1AB4" w:rsidP="0055040F">
      <w:pPr>
        <w:pStyle w:val="Heading3"/>
        <w:jc w:val="both"/>
      </w:pPr>
      <w:r w:rsidRPr="006674E8">
        <w:t>Public Service Purpose Statement</w:t>
      </w:r>
    </w:p>
    <w:p w14:paraId="443BF61F" w14:textId="77777777" w:rsidR="009D1AB4" w:rsidRDefault="009D1AB4" w:rsidP="0055040F">
      <w:pPr>
        <w:pStyle w:val="Body"/>
        <w:jc w:val="both"/>
      </w:pPr>
      <w:r>
        <w:t xml:space="preserve">Ka mahitahi mātou o te ratonga tūmatanui hei painga mō ngā tāngata o Aotearoa </w:t>
      </w:r>
    </w:p>
    <w:p w14:paraId="4B5DDB87" w14:textId="5BB98F40" w:rsidR="009D1AB4" w:rsidRDefault="009D1AB4" w:rsidP="0055040F">
      <w:pPr>
        <w:pStyle w:val="Body"/>
        <w:jc w:val="both"/>
      </w:pPr>
      <w:r>
        <w:t xml:space="preserve">I āianei, ā, hei ngā rā ki tua hoki, he kawenga tino whaitake tā mātou hei tautoko i te Karauna i runga i āna hononga ki a </w:t>
      </w:r>
      <w:r w:rsidR="00231922">
        <w:t>N</w:t>
      </w:r>
      <w:r>
        <w:t xml:space="preserve">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6ABBA2D5" w14:textId="77777777" w:rsidR="009D1AB4" w:rsidRPr="00A76635" w:rsidRDefault="009D1AB4" w:rsidP="0055040F">
      <w:pPr>
        <w:pStyle w:val="Body"/>
        <w:jc w:val="both"/>
      </w:pPr>
      <w:r>
        <w:t>In the public</w:t>
      </w:r>
      <w:r>
        <w:rPr>
          <w:rFonts w:ascii="Cambria Math" w:hAnsi="Cambria Math" w:cs="Cambria Math"/>
        </w:rPr>
        <w:t> </w:t>
      </w:r>
      <w:r>
        <w:t>service we work collectively to make a meaningful difference for New Zealanders now and in the future. We have an important role in supporting the Crown in its relationships with M</w:t>
      </w:r>
      <w:r>
        <w:rPr>
          <w:rFonts w:cs="Archer Book"/>
        </w:rPr>
        <w:t>ā</w:t>
      </w:r>
      <w:r>
        <w:t>ori under the Treaty of Waitangi.</w:t>
      </w:r>
      <w:r>
        <w:rPr>
          <w:rFonts w:ascii="Cambria Math" w:hAnsi="Cambria Math" w:cs="Cambria Math"/>
        </w:rPr>
        <w:t xml:space="preserve"> </w:t>
      </w:r>
      <w:r>
        <w:t>We support democratic government. We are unified by a spirit of service to our communities and guided by the core principles and values of the public service in our work.</w:t>
      </w:r>
    </w:p>
    <w:p w14:paraId="3B62A896" w14:textId="77777777" w:rsidR="009D1AB4" w:rsidRPr="00A57C80" w:rsidRDefault="009D1AB4" w:rsidP="0084247D">
      <w:pPr>
        <w:pStyle w:val="Heading3"/>
      </w:pPr>
      <w:r w:rsidRPr="00A57C80">
        <w:t>About DOC</w:t>
      </w:r>
    </w:p>
    <w:p w14:paraId="52EA48D9" w14:textId="77777777" w:rsidR="009D1AB4" w:rsidRDefault="009D1AB4" w:rsidP="00FC745C">
      <w:pPr>
        <w:pStyle w:val="Body"/>
      </w:pPr>
      <w:r>
        <w:t xml:space="preserve">The Department of Conservation </w:t>
      </w:r>
      <w:r w:rsidRPr="0009346F">
        <w:rPr>
          <w:i/>
          <w:iCs/>
        </w:rPr>
        <w:t>Te Papa Atawhai</w:t>
      </w:r>
      <w:r>
        <w:t xml:space="preserve"> (DOC) protects and sustains nature for current and future generations. Our purpose is to ensure that Papatūānuku thrives. We do this by:</w:t>
      </w:r>
    </w:p>
    <w:p w14:paraId="00F99C2E" w14:textId="77777777" w:rsidR="009D1AB4" w:rsidRDefault="009D1AB4" w:rsidP="00BB22F2">
      <w:pPr>
        <w:pStyle w:val="Body"/>
        <w:numPr>
          <w:ilvl w:val="0"/>
          <w:numId w:val="2"/>
        </w:numPr>
        <w:ind w:hanging="436"/>
      </w:pPr>
      <w:r>
        <w:t xml:space="preserve">Protecting land, species, ecosystems, and cultural heritage for conservation purposes </w:t>
      </w:r>
    </w:p>
    <w:p w14:paraId="02E9410B" w14:textId="77777777" w:rsidR="009D1AB4" w:rsidRDefault="009D1AB4" w:rsidP="00BB22F2">
      <w:pPr>
        <w:pStyle w:val="Body"/>
        <w:numPr>
          <w:ilvl w:val="0"/>
          <w:numId w:val="2"/>
        </w:numPr>
        <w:ind w:hanging="436"/>
      </w:pPr>
      <w:r>
        <w:t xml:space="preserve">Managing threats and adverse impacts </w:t>
      </w:r>
    </w:p>
    <w:p w14:paraId="4970FC8B" w14:textId="77777777" w:rsidR="009D1AB4" w:rsidRDefault="009D1AB4" w:rsidP="00BB22F2">
      <w:pPr>
        <w:pStyle w:val="Body"/>
        <w:numPr>
          <w:ilvl w:val="0"/>
          <w:numId w:val="2"/>
        </w:numPr>
        <w:ind w:hanging="436"/>
      </w:pPr>
      <w:r>
        <w:t xml:space="preserve">Being a voice for conservation </w:t>
      </w:r>
    </w:p>
    <w:p w14:paraId="0E9532A8" w14:textId="77777777" w:rsidR="009D1AB4" w:rsidRDefault="009D1AB4" w:rsidP="00BB22F2">
      <w:pPr>
        <w:pStyle w:val="Body"/>
        <w:numPr>
          <w:ilvl w:val="0"/>
          <w:numId w:val="2"/>
        </w:numPr>
        <w:ind w:hanging="436"/>
      </w:pPr>
      <w:r>
        <w:t>Connecting people to nature</w:t>
      </w:r>
    </w:p>
    <w:p w14:paraId="0CC50D35" w14:textId="77777777" w:rsidR="009D1AB4" w:rsidRDefault="009D1AB4" w:rsidP="00FC745C">
      <w:pPr>
        <w:pStyle w:val="Body"/>
      </w:pPr>
      <w:r>
        <w:t>All New Zealanders have a role in keeping nature healthy. We partner with whānau, hapū and iwi and collaborate with commercial partners, NGOs, volunteers, and government agencies to improve conservation outcomes.</w:t>
      </w:r>
    </w:p>
    <w:p w14:paraId="7E986A3D" w14:textId="77777777" w:rsidR="009D1AB4" w:rsidRDefault="009D1AB4" w:rsidP="0084247D">
      <w:pPr>
        <w:pStyle w:val="Heading3"/>
        <w:rPr>
          <w:noProof/>
        </w:rPr>
      </w:pPr>
      <w:r>
        <w:rPr>
          <w:noProof/>
        </w:rPr>
        <w:t>Role Purpose</w:t>
      </w:r>
    </w:p>
    <w:p w14:paraId="5B41CC78" w14:textId="32D47E31" w:rsidR="00231922" w:rsidRDefault="009D1AB4" w:rsidP="001F093D">
      <w:pPr>
        <w:pStyle w:val="Body"/>
        <w:jc w:val="both"/>
      </w:pPr>
      <w:r w:rsidRPr="00D73942">
        <w:rPr>
          <w:noProof/>
        </w:rPr>
        <w:t xml:space="preserve">This role </w:t>
      </w:r>
      <w:r w:rsidRPr="00D73942">
        <w:t xml:space="preserve">is responsible for </w:t>
      </w:r>
      <w:r w:rsidR="0030197F">
        <w:t>developing</w:t>
      </w:r>
      <w:r w:rsidR="00457B5F" w:rsidRPr="00D73942">
        <w:t xml:space="preserve"> </w:t>
      </w:r>
      <w:r w:rsidR="00B95519">
        <w:t xml:space="preserve">and </w:t>
      </w:r>
      <w:r w:rsidR="009518B8">
        <w:t xml:space="preserve">supporting effective engagement </w:t>
      </w:r>
      <w:r w:rsidR="0030197F">
        <w:t xml:space="preserve">programmes, </w:t>
      </w:r>
      <w:proofErr w:type="gramStart"/>
      <w:r w:rsidR="009518B8">
        <w:t>systems</w:t>
      </w:r>
      <w:proofErr w:type="gramEnd"/>
      <w:r w:rsidR="009518B8">
        <w:t xml:space="preserve"> and processes</w:t>
      </w:r>
      <w:r w:rsidR="00835406">
        <w:t>.</w:t>
      </w:r>
    </w:p>
    <w:p w14:paraId="65EDD169" w14:textId="711154C3" w:rsidR="009518B8" w:rsidRDefault="00231922" w:rsidP="004434CD">
      <w:pPr>
        <w:spacing w:before="0" w:after="0"/>
      </w:pPr>
      <w:r>
        <w:br w:type="page"/>
      </w:r>
      <w:r w:rsidR="009D1AB4">
        <w:lastRenderedPageBreak/>
        <w:t>The key outcomes for this role include to:</w:t>
      </w:r>
    </w:p>
    <w:p w14:paraId="51A4C623" w14:textId="1603A906" w:rsidR="00351C78" w:rsidRPr="00C00358" w:rsidRDefault="00351C78" w:rsidP="00351C78">
      <w:pPr>
        <w:pStyle w:val="Body"/>
        <w:numPr>
          <w:ilvl w:val="0"/>
          <w:numId w:val="3"/>
        </w:numPr>
        <w:jc w:val="both"/>
      </w:pPr>
      <w:r>
        <w:t>De</w:t>
      </w:r>
      <w:r w:rsidR="000C38E4">
        <w:t>velop</w:t>
      </w:r>
      <w:r>
        <w:t xml:space="preserve"> and deliver effective engagement strategies, plans and best practice guidance to support programmes and key audiences and deliver conservation outcomes.</w:t>
      </w:r>
    </w:p>
    <w:p w14:paraId="39521338" w14:textId="70A2B558" w:rsidR="00351C78" w:rsidRPr="003F3EF7" w:rsidRDefault="00351C78" w:rsidP="00351C78">
      <w:pPr>
        <w:pStyle w:val="Body"/>
        <w:numPr>
          <w:ilvl w:val="0"/>
          <w:numId w:val="3"/>
        </w:numPr>
        <w:jc w:val="both"/>
      </w:pPr>
      <w:r w:rsidRPr="003F3EF7">
        <w:t>Support the development and delivery of systems and processes that connect and integrate DOC’s engagement work and support teams to do engagement well</w:t>
      </w:r>
      <w:r>
        <w:t xml:space="preserve">.  </w:t>
      </w:r>
    </w:p>
    <w:p w14:paraId="73D72203" w14:textId="1FE6A5AF" w:rsidR="00457B5F" w:rsidRPr="00C00358" w:rsidRDefault="00351C78" w:rsidP="00372084">
      <w:pPr>
        <w:pStyle w:val="Body"/>
        <w:numPr>
          <w:ilvl w:val="0"/>
          <w:numId w:val="3"/>
        </w:numPr>
        <w:shd w:val="clear" w:color="auto" w:fill="FFFFFF" w:themeFill="background1"/>
        <w:jc w:val="both"/>
      </w:pPr>
      <w:r>
        <w:t>Support a strategic engagement approach and programme that builds trust and confidence in our organisation.</w:t>
      </w:r>
    </w:p>
    <w:p w14:paraId="6DA527B4" w14:textId="77777777" w:rsidR="006968E9" w:rsidRDefault="006968E9" w:rsidP="006968E9">
      <w:pPr>
        <w:pStyle w:val="Heading3"/>
        <w:jc w:val="both"/>
      </w:pPr>
      <w:r>
        <w:t>Relationships</w:t>
      </w:r>
    </w:p>
    <w:p w14:paraId="73F10918" w14:textId="77777777" w:rsidR="006968E9" w:rsidRPr="00E30CB9" w:rsidRDefault="006968E9" w:rsidP="006968E9">
      <w:pPr>
        <w:pStyle w:val="Body"/>
      </w:pPr>
      <w:r>
        <w:t>The role specific relationships are detailed below:</w:t>
      </w:r>
    </w:p>
    <w:tbl>
      <w:tblPr>
        <w:tblStyle w:val="TableGrid"/>
        <w:tblW w:w="9923" w:type="dxa"/>
        <w:tblInd w:w="-147" w:type="dxa"/>
        <w:tblLook w:val="04A0" w:firstRow="1" w:lastRow="0" w:firstColumn="1" w:lastColumn="0" w:noHBand="0" w:noVBand="1"/>
      </w:tblPr>
      <w:tblGrid>
        <w:gridCol w:w="5671"/>
        <w:gridCol w:w="4252"/>
      </w:tblGrid>
      <w:tr w:rsidR="006968E9" w14:paraId="63B94B30" w14:textId="77777777" w:rsidTr="00853F81">
        <w:tc>
          <w:tcPr>
            <w:tcW w:w="5671" w:type="dxa"/>
            <w:shd w:val="clear" w:color="auto" w:fill="D9E2F3" w:themeFill="accent1" w:themeFillTint="33"/>
          </w:tcPr>
          <w:p w14:paraId="00F6C7E5" w14:textId="77777777" w:rsidR="006968E9" w:rsidRPr="00FC0EE4" w:rsidRDefault="006968E9" w:rsidP="009B247A">
            <w:pPr>
              <w:pStyle w:val="Body"/>
              <w:rPr>
                <w:b/>
                <w:bCs/>
              </w:rPr>
            </w:pPr>
            <w:r w:rsidRPr="00FC0EE4">
              <w:rPr>
                <w:b/>
                <w:bCs/>
              </w:rPr>
              <w:t>Internal</w:t>
            </w:r>
          </w:p>
        </w:tc>
        <w:tc>
          <w:tcPr>
            <w:tcW w:w="4252" w:type="dxa"/>
            <w:shd w:val="clear" w:color="auto" w:fill="D9E2F3" w:themeFill="accent1" w:themeFillTint="33"/>
          </w:tcPr>
          <w:p w14:paraId="165F5E81" w14:textId="77777777" w:rsidR="006968E9" w:rsidRPr="00FC0EE4" w:rsidRDefault="006968E9" w:rsidP="009B247A">
            <w:pPr>
              <w:pStyle w:val="Body"/>
              <w:rPr>
                <w:b/>
                <w:bCs/>
              </w:rPr>
            </w:pPr>
            <w:r w:rsidRPr="00FC0EE4">
              <w:rPr>
                <w:b/>
                <w:bCs/>
              </w:rPr>
              <w:t>Nature of the Relationship</w:t>
            </w:r>
          </w:p>
        </w:tc>
      </w:tr>
      <w:tr w:rsidR="006968E9" w14:paraId="4FB2A784" w14:textId="77777777" w:rsidTr="00853F81">
        <w:tc>
          <w:tcPr>
            <w:tcW w:w="5671" w:type="dxa"/>
          </w:tcPr>
          <w:p w14:paraId="56864AFD" w14:textId="6D33722A" w:rsidR="00097408" w:rsidRDefault="00097408" w:rsidP="00853F81">
            <w:pPr>
              <w:pStyle w:val="Body"/>
            </w:pPr>
            <w:r>
              <w:t xml:space="preserve">Managers and teams </w:t>
            </w:r>
            <w:r w:rsidR="00853F81">
              <w:t>in their business portfolio</w:t>
            </w:r>
          </w:p>
        </w:tc>
        <w:tc>
          <w:tcPr>
            <w:tcW w:w="4252" w:type="dxa"/>
          </w:tcPr>
          <w:p w14:paraId="78F7A645" w14:textId="49F661F9" w:rsidR="006968E9" w:rsidRDefault="004A34B3" w:rsidP="009B247A">
            <w:pPr>
              <w:pStyle w:val="Body"/>
            </w:pPr>
            <w:r>
              <w:t>Support</w:t>
            </w:r>
            <w:r w:rsidR="00DD0AA9">
              <w:t xml:space="preserve"> influenc</w:t>
            </w:r>
            <w:r>
              <w:t>ing</w:t>
            </w:r>
            <w:r w:rsidR="00DD0AA9">
              <w:t xml:space="preserve"> outcomes, gather</w:t>
            </w:r>
            <w:r>
              <w:t>ing</w:t>
            </w:r>
            <w:r w:rsidR="00DD0AA9">
              <w:t xml:space="preserve"> information, and provid</w:t>
            </w:r>
            <w:r>
              <w:t>ing</w:t>
            </w:r>
            <w:r w:rsidR="00DD0AA9">
              <w:t xml:space="preserve"> advice to Senior Leaders across</w:t>
            </w:r>
            <w:r w:rsidR="005B6697">
              <w:t xml:space="preserve"> the department.</w:t>
            </w:r>
          </w:p>
        </w:tc>
      </w:tr>
      <w:tr w:rsidR="00853F81" w14:paraId="544254C3" w14:textId="77777777" w:rsidTr="00853F81">
        <w:tc>
          <w:tcPr>
            <w:tcW w:w="5671" w:type="dxa"/>
          </w:tcPr>
          <w:p w14:paraId="3F99D093" w14:textId="493FC4FD" w:rsidR="00853F81" w:rsidRDefault="00853F81" w:rsidP="00853F81">
            <w:pPr>
              <w:pStyle w:val="Body"/>
            </w:pPr>
            <w:r>
              <w:t>Other Managers and Directors across the organisation as required</w:t>
            </w:r>
          </w:p>
        </w:tc>
        <w:tc>
          <w:tcPr>
            <w:tcW w:w="4252" w:type="dxa"/>
          </w:tcPr>
          <w:p w14:paraId="0AE37D15" w14:textId="5448A51A" w:rsidR="00853F81" w:rsidRDefault="004A34B3" w:rsidP="009B247A">
            <w:pPr>
              <w:pStyle w:val="Body"/>
            </w:pPr>
            <w:r>
              <w:t xml:space="preserve">Support influencing outcomes, gathering information, and providing advice </w:t>
            </w:r>
            <w:r w:rsidR="00DD0AA9">
              <w:t xml:space="preserve">across the </w:t>
            </w:r>
            <w:r w:rsidR="00252C97">
              <w:t>across the organisation.</w:t>
            </w:r>
          </w:p>
        </w:tc>
      </w:tr>
      <w:tr w:rsidR="00853F81" w14:paraId="7E899B70" w14:textId="77777777" w:rsidTr="00853F81">
        <w:tc>
          <w:tcPr>
            <w:tcW w:w="5671" w:type="dxa"/>
          </w:tcPr>
          <w:p w14:paraId="463BA310" w14:textId="3C7CB948" w:rsidR="00853F81" w:rsidRDefault="00853F81" w:rsidP="00853F81">
            <w:pPr>
              <w:pStyle w:val="Body"/>
            </w:pPr>
            <w:r>
              <w:t>Kaihaut</w:t>
            </w:r>
            <w:r w:rsidR="00FB0DFC">
              <w:t>ū</w:t>
            </w:r>
            <w:r>
              <w:t xml:space="preserve"> and Treaty Partnerships group</w:t>
            </w:r>
          </w:p>
        </w:tc>
        <w:tc>
          <w:tcPr>
            <w:tcW w:w="4252" w:type="dxa"/>
          </w:tcPr>
          <w:p w14:paraId="78EB863C" w14:textId="7B8C8184" w:rsidR="00853F81" w:rsidRDefault="00DD0AA9" w:rsidP="009B247A">
            <w:pPr>
              <w:pStyle w:val="Body"/>
            </w:pPr>
            <w:r>
              <w:t>To support effective engagement</w:t>
            </w:r>
            <w:r w:rsidR="00C15304">
              <w:t xml:space="preserve"> ongoing</w:t>
            </w:r>
            <w:r w:rsidR="00A85545">
              <w:t xml:space="preserve"> and relationship building</w:t>
            </w:r>
            <w:r>
              <w:t>.</w:t>
            </w:r>
          </w:p>
        </w:tc>
      </w:tr>
      <w:tr w:rsidR="006968E9" w14:paraId="283B0387" w14:textId="77777777" w:rsidTr="00853F81">
        <w:tc>
          <w:tcPr>
            <w:tcW w:w="5671" w:type="dxa"/>
            <w:shd w:val="clear" w:color="auto" w:fill="D9E2F3" w:themeFill="accent1" w:themeFillTint="33"/>
          </w:tcPr>
          <w:p w14:paraId="1EF18C4E" w14:textId="77777777" w:rsidR="006968E9" w:rsidRPr="00FC0EE4" w:rsidRDefault="006968E9" w:rsidP="009B247A">
            <w:pPr>
              <w:pStyle w:val="Body"/>
              <w:rPr>
                <w:b/>
                <w:bCs/>
              </w:rPr>
            </w:pPr>
            <w:r w:rsidRPr="00FC0EE4">
              <w:rPr>
                <w:b/>
                <w:bCs/>
              </w:rPr>
              <w:t>External</w:t>
            </w:r>
          </w:p>
        </w:tc>
        <w:tc>
          <w:tcPr>
            <w:tcW w:w="4252" w:type="dxa"/>
            <w:shd w:val="clear" w:color="auto" w:fill="D9E2F3" w:themeFill="accent1" w:themeFillTint="33"/>
          </w:tcPr>
          <w:p w14:paraId="33A05072" w14:textId="77777777" w:rsidR="006968E9" w:rsidRPr="00FC0EE4" w:rsidRDefault="006968E9" w:rsidP="009B247A">
            <w:pPr>
              <w:pStyle w:val="Body"/>
              <w:rPr>
                <w:b/>
                <w:bCs/>
              </w:rPr>
            </w:pPr>
            <w:r w:rsidRPr="00FC0EE4">
              <w:rPr>
                <w:b/>
                <w:bCs/>
              </w:rPr>
              <w:t>Nature of the Relationship</w:t>
            </w:r>
          </w:p>
        </w:tc>
      </w:tr>
      <w:tr w:rsidR="006968E9" w14:paraId="614FDB93" w14:textId="77777777" w:rsidTr="00853F81">
        <w:tc>
          <w:tcPr>
            <w:tcW w:w="5671" w:type="dxa"/>
          </w:tcPr>
          <w:p w14:paraId="7B030AE9" w14:textId="164D4E13" w:rsidR="00097408" w:rsidRDefault="00097408" w:rsidP="00853F81">
            <w:pPr>
              <w:pStyle w:val="Body"/>
            </w:pPr>
            <w:r>
              <w:t>Other Government departments</w:t>
            </w:r>
          </w:p>
        </w:tc>
        <w:tc>
          <w:tcPr>
            <w:tcW w:w="4252" w:type="dxa"/>
          </w:tcPr>
          <w:p w14:paraId="3EC687AD" w14:textId="021F0764" w:rsidR="006968E9" w:rsidRDefault="00DD0AA9" w:rsidP="009B247A">
            <w:pPr>
              <w:pStyle w:val="Body"/>
            </w:pPr>
            <w:r>
              <w:t>Represent interest</w:t>
            </w:r>
            <w:r w:rsidR="003453F8">
              <w:t>s</w:t>
            </w:r>
            <w:r>
              <w:t xml:space="preserve"> of DOC, build </w:t>
            </w:r>
            <w:proofErr w:type="gramStart"/>
            <w:r>
              <w:t>networks</w:t>
            </w:r>
            <w:proofErr w:type="gramEnd"/>
            <w:r>
              <w:t xml:space="preserve"> and collaborate on work programmes.</w:t>
            </w:r>
          </w:p>
        </w:tc>
      </w:tr>
      <w:tr w:rsidR="00853F81" w14:paraId="19C24D49" w14:textId="77777777" w:rsidTr="00853F81">
        <w:tc>
          <w:tcPr>
            <w:tcW w:w="5671" w:type="dxa"/>
          </w:tcPr>
          <w:p w14:paraId="70975841" w14:textId="3DF7ADE1" w:rsidR="00853F81" w:rsidRDefault="00853F81" w:rsidP="00853F81">
            <w:pPr>
              <w:pStyle w:val="Body"/>
            </w:pPr>
            <w:r>
              <w:t>National Partners and stakeholders relevant to their portfolio</w:t>
            </w:r>
          </w:p>
        </w:tc>
        <w:tc>
          <w:tcPr>
            <w:tcW w:w="4252" w:type="dxa"/>
          </w:tcPr>
          <w:p w14:paraId="79219E49" w14:textId="59ECF755" w:rsidR="00853F81" w:rsidRDefault="00DD0AA9" w:rsidP="009B247A">
            <w:pPr>
              <w:pStyle w:val="Body"/>
            </w:pPr>
            <w:r>
              <w:t>Represent interest</w:t>
            </w:r>
            <w:r w:rsidR="003453F8">
              <w:t>s</w:t>
            </w:r>
            <w:r>
              <w:t xml:space="preserve"> of DOC, build </w:t>
            </w:r>
            <w:proofErr w:type="gramStart"/>
            <w:r>
              <w:t>networks</w:t>
            </w:r>
            <w:proofErr w:type="gramEnd"/>
            <w:r>
              <w:t xml:space="preserve"> and collaborate on work programmes.</w:t>
            </w:r>
          </w:p>
        </w:tc>
      </w:tr>
      <w:tr w:rsidR="00853F81" w14:paraId="7B1E353B" w14:textId="77777777" w:rsidTr="00853F81">
        <w:tc>
          <w:tcPr>
            <w:tcW w:w="5671" w:type="dxa"/>
          </w:tcPr>
          <w:p w14:paraId="7516F92A" w14:textId="0A2DA4AD" w:rsidR="00853F81" w:rsidRDefault="00853F81" w:rsidP="00853F81">
            <w:pPr>
              <w:pStyle w:val="Body"/>
            </w:pPr>
            <w:r>
              <w:t>Agency and sector peers</w:t>
            </w:r>
          </w:p>
        </w:tc>
        <w:tc>
          <w:tcPr>
            <w:tcW w:w="4252" w:type="dxa"/>
          </w:tcPr>
          <w:p w14:paraId="0D61C70F" w14:textId="7B6B2EBD" w:rsidR="00853F81" w:rsidRDefault="00DD0AA9" w:rsidP="009B247A">
            <w:pPr>
              <w:pStyle w:val="Body"/>
            </w:pPr>
            <w:r>
              <w:t>Represent interest</w:t>
            </w:r>
            <w:r w:rsidR="003453F8">
              <w:t>s</w:t>
            </w:r>
            <w:r>
              <w:t xml:space="preserve"> of DOC, build </w:t>
            </w:r>
            <w:proofErr w:type="gramStart"/>
            <w:r>
              <w:t>networks</w:t>
            </w:r>
            <w:proofErr w:type="gramEnd"/>
            <w:r>
              <w:t xml:space="preserve"> and collaborate on work programmes.</w:t>
            </w:r>
          </w:p>
        </w:tc>
      </w:tr>
    </w:tbl>
    <w:p w14:paraId="116440D7" w14:textId="77777777" w:rsidR="006968E9" w:rsidRDefault="006968E9" w:rsidP="006968E9">
      <w:pPr>
        <w:pStyle w:val="Heading3"/>
        <w:jc w:val="both"/>
      </w:pPr>
      <w:r>
        <w:t>Technical/Functional Capability Required</w:t>
      </w:r>
    </w:p>
    <w:p w14:paraId="0E83B95E" w14:textId="47C28340" w:rsidR="006968E9" w:rsidRPr="00CA45BC" w:rsidRDefault="00097408" w:rsidP="006968E9">
      <w:pPr>
        <w:pStyle w:val="Body"/>
        <w:numPr>
          <w:ilvl w:val="0"/>
          <w:numId w:val="3"/>
        </w:numPr>
        <w:jc w:val="both"/>
      </w:pPr>
      <w:r w:rsidRPr="00CA45BC">
        <w:t xml:space="preserve">Previous engagement experience at a senior or </w:t>
      </w:r>
      <w:r w:rsidR="00BD1058">
        <w:t>advisor</w:t>
      </w:r>
      <w:r w:rsidRPr="00CA45BC">
        <w:t xml:space="preserve"> level</w:t>
      </w:r>
      <w:r w:rsidR="00853F81">
        <w:t>.</w:t>
      </w:r>
      <w:r w:rsidRPr="00CA45BC">
        <w:t xml:space="preserve"> </w:t>
      </w:r>
    </w:p>
    <w:p w14:paraId="6E6B013F" w14:textId="535A09B6" w:rsidR="006968E9" w:rsidRPr="00CA45BC" w:rsidRDefault="00097408" w:rsidP="006968E9">
      <w:pPr>
        <w:pStyle w:val="Body"/>
        <w:numPr>
          <w:ilvl w:val="0"/>
          <w:numId w:val="3"/>
        </w:numPr>
        <w:jc w:val="both"/>
      </w:pPr>
      <w:r w:rsidRPr="00CA45BC">
        <w:t>Strategic, problem solving, analytical and issues management skills</w:t>
      </w:r>
      <w:r w:rsidR="00853F81">
        <w:t>.</w:t>
      </w:r>
    </w:p>
    <w:p w14:paraId="744A74C6" w14:textId="589E7E24" w:rsidR="00097408" w:rsidRPr="00CA45BC" w:rsidRDefault="00097408" w:rsidP="006968E9">
      <w:pPr>
        <w:pStyle w:val="Body"/>
        <w:numPr>
          <w:ilvl w:val="0"/>
          <w:numId w:val="3"/>
        </w:numPr>
        <w:jc w:val="both"/>
      </w:pPr>
      <w:r w:rsidRPr="00CA45BC">
        <w:t>Specialist knowledge/experience in relationship management, stakeholder engagement and strategic engagement</w:t>
      </w:r>
      <w:r w:rsidR="00853F81">
        <w:t>.</w:t>
      </w:r>
    </w:p>
    <w:p w14:paraId="71BF2034" w14:textId="493D8830" w:rsidR="00097408" w:rsidRDefault="00097408" w:rsidP="006968E9">
      <w:pPr>
        <w:pStyle w:val="Body"/>
        <w:numPr>
          <w:ilvl w:val="0"/>
          <w:numId w:val="3"/>
        </w:numPr>
        <w:jc w:val="both"/>
      </w:pPr>
      <w:r w:rsidRPr="00CA45BC">
        <w:t>Programme/project planning and management, including development of investment business cases</w:t>
      </w:r>
      <w:r w:rsidR="00853F81">
        <w:t>.</w:t>
      </w:r>
    </w:p>
    <w:p w14:paraId="208E07A6" w14:textId="1F164F5F" w:rsidR="00590AF2" w:rsidRDefault="00590AF2" w:rsidP="006968E9">
      <w:pPr>
        <w:pStyle w:val="Body"/>
        <w:numPr>
          <w:ilvl w:val="0"/>
          <w:numId w:val="3"/>
        </w:numPr>
        <w:jc w:val="both"/>
      </w:pPr>
      <w:r>
        <w:t>Excellent communication skills, both written and verbal</w:t>
      </w:r>
      <w:r w:rsidR="00853F81">
        <w:t>.</w:t>
      </w:r>
      <w:r>
        <w:t xml:space="preserve"> </w:t>
      </w:r>
    </w:p>
    <w:p w14:paraId="612125A0" w14:textId="1F9750A8" w:rsidR="00590AF2" w:rsidRPr="00CA45BC" w:rsidRDefault="00312E7A" w:rsidP="005C0D19">
      <w:pPr>
        <w:pStyle w:val="Body"/>
        <w:numPr>
          <w:ilvl w:val="0"/>
          <w:numId w:val="3"/>
        </w:numPr>
        <w:jc w:val="both"/>
      </w:pPr>
      <w:r>
        <w:t>Sound understanding of engagement th</w:t>
      </w:r>
      <w:r w:rsidR="0013515C">
        <w:t>eory and practice, especially that of any portfolio attached to their role</w:t>
      </w:r>
      <w:r w:rsidR="00853F81">
        <w:t>.</w:t>
      </w:r>
    </w:p>
    <w:p w14:paraId="635C04B4" w14:textId="77777777" w:rsidR="009D1AB4" w:rsidRDefault="009D1AB4" w:rsidP="00E02EA5">
      <w:pPr>
        <w:pStyle w:val="Heading3"/>
        <w:jc w:val="both"/>
      </w:pPr>
      <w:r>
        <w:lastRenderedPageBreak/>
        <w:t>General</w:t>
      </w:r>
    </w:p>
    <w:p w14:paraId="5C2D50AB" w14:textId="0959BC26" w:rsidR="009D1AB4" w:rsidRDefault="009D1AB4" w:rsidP="00E02EA5">
      <w:pPr>
        <w:pStyle w:val="Body"/>
        <w:jc w:val="both"/>
      </w:pPr>
      <w:r>
        <w:t xml:space="preserve">Employees </w:t>
      </w:r>
      <w:r w:rsidR="00231922">
        <w:t>are</w:t>
      </w:r>
      <w:r>
        <w:t xml:space="preserve"> required to respond to DOC’s changing needs, performing other tasks as reasonably required. </w:t>
      </w:r>
    </w:p>
    <w:p w14:paraId="517CA3CF" w14:textId="77777777" w:rsidR="009D1AB4" w:rsidRDefault="009D1AB4" w:rsidP="00E02EA5">
      <w:pPr>
        <w:pStyle w:val="Body"/>
        <w:jc w:val="both"/>
      </w:pPr>
      <w:r>
        <w:t>DOC may make reasonable changes to the role in consultation with the role holder. This could include adjustment of the allocation of portfolios and responsibilities among members of the Group leadership from time to time.</w:t>
      </w:r>
    </w:p>
    <w:p w14:paraId="1BE6314E" w14:textId="77777777" w:rsidR="009D1AB4" w:rsidRPr="00D04625" w:rsidRDefault="009D1AB4" w:rsidP="00E02EA5">
      <w:pPr>
        <w:pStyle w:val="Body"/>
      </w:pPr>
      <w:r>
        <w:t>You are required to maintain a strict sense of personal ethics, maintain confidentiality and privacy, and abide by DOC’s Code of Conduct.</w:t>
      </w:r>
    </w:p>
    <w:p w14:paraId="03C3F233" w14:textId="5CB40173" w:rsidR="004B5D2F" w:rsidRPr="004B5D2F" w:rsidRDefault="009D1AB4" w:rsidP="002D03D7">
      <w:pPr>
        <w:pStyle w:val="Heading3"/>
        <w:jc w:val="both"/>
      </w:pPr>
      <w:r>
        <w:t>Key Accountabilities</w:t>
      </w:r>
    </w:p>
    <w:tbl>
      <w:tblPr>
        <w:tblStyle w:val="TableGrid"/>
        <w:tblW w:w="9923" w:type="dxa"/>
        <w:tblInd w:w="-147" w:type="dxa"/>
        <w:tblLook w:val="04A0" w:firstRow="1" w:lastRow="0" w:firstColumn="1" w:lastColumn="0" w:noHBand="0" w:noVBand="1"/>
      </w:tblPr>
      <w:tblGrid>
        <w:gridCol w:w="2977"/>
        <w:gridCol w:w="6946"/>
      </w:tblGrid>
      <w:tr w:rsidR="009D1AB4" w14:paraId="64D956A1" w14:textId="77777777" w:rsidTr="7ADA12B7">
        <w:trPr>
          <w:tblHeader/>
        </w:trPr>
        <w:tc>
          <w:tcPr>
            <w:tcW w:w="2977" w:type="dxa"/>
          </w:tcPr>
          <w:p w14:paraId="7B0528D5" w14:textId="77777777" w:rsidR="009D1AB4" w:rsidRPr="00447A24" w:rsidRDefault="009D1AB4" w:rsidP="0055040F">
            <w:pPr>
              <w:pStyle w:val="Body"/>
              <w:jc w:val="both"/>
              <w:rPr>
                <w:b/>
                <w:bCs/>
              </w:rPr>
            </w:pPr>
            <w:r w:rsidRPr="00447A24">
              <w:rPr>
                <w:b/>
                <w:bCs/>
              </w:rPr>
              <w:t>Accountability</w:t>
            </w:r>
          </w:p>
        </w:tc>
        <w:tc>
          <w:tcPr>
            <w:tcW w:w="6946" w:type="dxa"/>
          </w:tcPr>
          <w:p w14:paraId="0FFC8079" w14:textId="04C8E291" w:rsidR="009D1AB4" w:rsidRPr="00447A24" w:rsidRDefault="009D1AB4" w:rsidP="0055040F">
            <w:pPr>
              <w:pStyle w:val="Body"/>
              <w:jc w:val="both"/>
              <w:rPr>
                <w:b/>
                <w:bCs/>
              </w:rPr>
            </w:pPr>
            <w:r>
              <w:rPr>
                <w:b/>
                <w:bCs/>
              </w:rPr>
              <w:t>This include</w:t>
            </w:r>
            <w:r w:rsidR="00231922">
              <w:rPr>
                <w:b/>
                <w:bCs/>
              </w:rPr>
              <w:t>s</w:t>
            </w:r>
            <w:r>
              <w:rPr>
                <w:b/>
                <w:bCs/>
              </w:rPr>
              <w:t>….</w:t>
            </w:r>
          </w:p>
        </w:tc>
      </w:tr>
      <w:tr w:rsidR="00795FB3" w14:paraId="1E9038B0" w14:textId="77777777" w:rsidTr="00795FB3">
        <w:tc>
          <w:tcPr>
            <w:tcW w:w="2977" w:type="dxa"/>
          </w:tcPr>
          <w:p w14:paraId="00DD52EE" w14:textId="3E660ED6" w:rsidR="00795FB3" w:rsidRDefault="00795FB3" w:rsidP="00795FB3">
            <w:pPr>
              <w:pStyle w:val="Body"/>
            </w:pPr>
            <w:r>
              <w:t xml:space="preserve">Design and deliver engagement programmes </w:t>
            </w:r>
            <w:r w:rsidRPr="0084387B">
              <w:t xml:space="preserve">which </w:t>
            </w:r>
            <w:r>
              <w:t>meet</w:t>
            </w:r>
            <w:r w:rsidRPr="0084387B">
              <w:t xml:space="preserve"> agreed outcomes</w:t>
            </w:r>
          </w:p>
        </w:tc>
        <w:tc>
          <w:tcPr>
            <w:tcW w:w="6946" w:type="dxa"/>
            <w:shd w:val="clear" w:color="auto" w:fill="FFFFFF" w:themeFill="background1"/>
          </w:tcPr>
          <w:p w14:paraId="2018B16B" w14:textId="77777777" w:rsidR="00795FB3" w:rsidRDefault="00795FB3" w:rsidP="00795FB3">
            <w:pPr>
              <w:pStyle w:val="Body"/>
            </w:pPr>
            <w:r w:rsidRPr="0084387B">
              <w:t>Scoping and recommending work and programme plans</w:t>
            </w:r>
          </w:p>
          <w:p w14:paraId="6E5B1F4C" w14:textId="77777777" w:rsidR="00795FB3" w:rsidRDefault="00795FB3" w:rsidP="00795FB3">
            <w:pPr>
              <w:pStyle w:val="Body"/>
            </w:pPr>
            <w:r>
              <w:t xml:space="preserve">Managing the delivery of own work programme </w:t>
            </w:r>
          </w:p>
          <w:p w14:paraId="38CCA71D" w14:textId="77777777" w:rsidR="00795FB3" w:rsidRDefault="00795FB3" w:rsidP="00795FB3">
            <w:pPr>
              <w:pStyle w:val="Body"/>
            </w:pPr>
            <w:r>
              <w:t>Managing competing priorities and setting defined goals</w:t>
            </w:r>
          </w:p>
          <w:p w14:paraId="6C6CA203" w14:textId="1E33CACB" w:rsidR="00795FB3" w:rsidRDefault="00795FB3" w:rsidP="00795FB3">
            <w:pPr>
              <w:pStyle w:val="Body"/>
            </w:pPr>
            <w:r>
              <w:t xml:space="preserve">Working as part of a coordinated team </w:t>
            </w:r>
          </w:p>
        </w:tc>
      </w:tr>
      <w:tr w:rsidR="009D1AB4" w14:paraId="6FD6B82A" w14:textId="77777777" w:rsidTr="7ADA12B7">
        <w:tc>
          <w:tcPr>
            <w:tcW w:w="2977" w:type="dxa"/>
          </w:tcPr>
          <w:p w14:paraId="1DDB8B7C" w14:textId="6987BC97" w:rsidR="009D1AB4" w:rsidRDefault="00B54CF6" w:rsidP="00277E19">
            <w:pPr>
              <w:pStyle w:val="Body"/>
            </w:pPr>
            <w:r>
              <w:t xml:space="preserve">Support </w:t>
            </w:r>
            <w:r w:rsidR="000B492E" w:rsidRPr="000B492E">
              <w:t>engagement and partnering activities with our Treaty Partner and a wide range of external stakeholders</w:t>
            </w:r>
          </w:p>
        </w:tc>
        <w:tc>
          <w:tcPr>
            <w:tcW w:w="6946" w:type="dxa"/>
          </w:tcPr>
          <w:p w14:paraId="159BBC27" w14:textId="77777777" w:rsidR="000B492E" w:rsidRPr="000B492E" w:rsidRDefault="000B492E" w:rsidP="000B492E">
            <w:pPr>
              <w:rPr>
                <w:rFonts w:cstheme="minorHAnsi"/>
                <w:noProof/>
              </w:rPr>
            </w:pPr>
            <w:r w:rsidRPr="000B492E">
              <w:rPr>
                <w:rFonts w:cstheme="minorHAnsi"/>
                <w:noProof/>
              </w:rPr>
              <w:t>Identifying whānau, hapū, iwi and other key stakeholders relevant to your work and establishing effective relationships</w:t>
            </w:r>
          </w:p>
          <w:p w14:paraId="5B553B74" w14:textId="29A8962A" w:rsidR="009D1AB4" w:rsidRPr="0062273C" w:rsidRDefault="000B492E" w:rsidP="00231922">
            <w:pPr>
              <w:rPr>
                <w:rFonts w:cstheme="minorHAnsi"/>
                <w:noProof/>
              </w:rPr>
            </w:pPr>
            <w:r w:rsidRPr="000B492E">
              <w:rPr>
                <w:rFonts w:cstheme="minorHAnsi"/>
                <w:noProof/>
              </w:rPr>
              <w:t>Identifying and responding to opportunities to partner or collaborate with external groups to achieve successful outcomes</w:t>
            </w:r>
          </w:p>
        </w:tc>
      </w:tr>
      <w:tr w:rsidR="009D1AB4" w14:paraId="06A274AF" w14:textId="77777777" w:rsidTr="7ADA12B7">
        <w:tc>
          <w:tcPr>
            <w:tcW w:w="2977" w:type="dxa"/>
          </w:tcPr>
          <w:p w14:paraId="1B641A19" w14:textId="150608C4" w:rsidR="009D1AB4" w:rsidRPr="00747603" w:rsidRDefault="000B492E" w:rsidP="00277E19">
            <w:pPr>
              <w:pStyle w:val="Body"/>
              <w:rPr>
                <w:rFonts w:cstheme="minorHAnsi"/>
                <w:noProof/>
              </w:rPr>
            </w:pPr>
            <w:r w:rsidRPr="000B492E">
              <w:rPr>
                <w:rFonts w:cstheme="minorHAnsi"/>
                <w:noProof/>
              </w:rPr>
              <w:t>Ensure DOC operates as an honourable Treaty Partner by identifying the impact of your work on Māori and sharing that awareness with others</w:t>
            </w:r>
          </w:p>
        </w:tc>
        <w:tc>
          <w:tcPr>
            <w:tcW w:w="6946" w:type="dxa"/>
          </w:tcPr>
          <w:p w14:paraId="4499A93F" w14:textId="77777777" w:rsidR="000B492E" w:rsidRPr="000B492E" w:rsidRDefault="000B492E" w:rsidP="000B492E">
            <w:pPr>
              <w:rPr>
                <w:rFonts w:cstheme="minorHAnsi"/>
                <w:noProof/>
              </w:rPr>
            </w:pPr>
            <w:r w:rsidRPr="000B492E">
              <w:rPr>
                <w:rFonts w:cstheme="minorHAnsi"/>
                <w:noProof/>
              </w:rPr>
              <w:t>Establishing networks with iwi and Māori who are interested/impacted by your work</w:t>
            </w:r>
          </w:p>
          <w:p w14:paraId="55FEB2F2" w14:textId="77777777" w:rsidR="000B492E" w:rsidRPr="000B492E" w:rsidRDefault="000B492E" w:rsidP="000B492E">
            <w:pPr>
              <w:rPr>
                <w:rFonts w:cstheme="minorHAnsi"/>
                <w:noProof/>
              </w:rPr>
            </w:pPr>
            <w:r w:rsidRPr="000B492E">
              <w:rPr>
                <w:rFonts w:cstheme="minorHAnsi"/>
                <w:noProof/>
              </w:rPr>
              <w:t>Identifying and acting upon opportunities to embed te ao Maori in DOC as it relates to your role</w:t>
            </w:r>
          </w:p>
          <w:p w14:paraId="2723DEAF" w14:textId="0C11020C" w:rsidR="000B492E" w:rsidRPr="000B492E" w:rsidRDefault="000B492E" w:rsidP="7ADA12B7">
            <w:pPr>
              <w:rPr>
                <w:rFonts w:cstheme="minorBidi"/>
                <w:noProof/>
              </w:rPr>
            </w:pPr>
            <w:r w:rsidRPr="7ADA12B7">
              <w:rPr>
                <w:rFonts w:cstheme="minorBidi"/>
                <w:noProof/>
              </w:rPr>
              <w:t xml:space="preserve">Facilitating opportunities for whānau, hapū and iwi to partner with DOC and/or understanding reasons why these have not </w:t>
            </w:r>
            <w:r w:rsidR="31D6C84E" w:rsidRPr="7ADA12B7">
              <w:rPr>
                <w:rFonts w:cstheme="minorBidi"/>
                <w:noProof/>
              </w:rPr>
              <w:t xml:space="preserve">been </w:t>
            </w:r>
            <w:r w:rsidRPr="7ADA12B7">
              <w:rPr>
                <w:rFonts w:cstheme="minorBidi"/>
                <w:noProof/>
              </w:rPr>
              <w:t>used</w:t>
            </w:r>
          </w:p>
          <w:p w14:paraId="2622A137" w14:textId="77777777" w:rsidR="000B492E" w:rsidRPr="000B492E" w:rsidRDefault="000B492E" w:rsidP="000B492E">
            <w:pPr>
              <w:rPr>
                <w:rFonts w:cstheme="minorHAnsi"/>
                <w:noProof/>
              </w:rPr>
            </w:pPr>
            <w:r w:rsidRPr="000B492E">
              <w:rPr>
                <w:rFonts w:cstheme="minorHAnsi"/>
                <w:noProof/>
              </w:rPr>
              <w:t>Ensuring co-design with Māori is undertaken when required</w:t>
            </w:r>
          </w:p>
          <w:p w14:paraId="198F72F4" w14:textId="77777777" w:rsidR="000B492E" w:rsidRPr="000B492E" w:rsidRDefault="000B492E" w:rsidP="000B492E">
            <w:pPr>
              <w:rPr>
                <w:rFonts w:cstheme="minorHAnsi"/>
                <w:noProof/>
              </w:rPr>
            </w:pPr>
            <w:r w:rsidRPr="000B492E">
              <w:rPr>
                <w:rFonts w:cstheme="minorHAnsi"/>
                <w:noProof/>
              </w:rPr>
              <w:t>Identifying data and research requirements which ensure different ways of working are supported, institutional bias and stereotypes are not reinforced</w:t>
            </w:r>
          </w:p>
          <w:p w14:paraId="4B293351" w14:textId="2F39C86B" w:rsidR="009D1AB4" w:rsidRPr="00747603" w:rsidRDefault="000B492E" w:rsidP="000B492E">
            <w:pPr>
              <w:rPr>
                <w:rFonts w:cstheme="minorHAnsi"/>
                <w:noProof/>
              </w:rPr>
            </w:pPr>
            <w:r w:rsidRPr="000B492E">
              <w:rPr>
                <w:rFonts w:cstheme="minorHAnsi"/>
                <w:noProof/>
              </w:rPr>
              <w:t>Assessing your capability to meet the requirements of DOC’s Whāinga Amorangi framework and taking action accordingly</w:t>
            </w:r>
          </w:p>
        </w:tc>
      </w:tr>
      <w:tr w:rsidR="009D1AB4" w14:paraId="43A3F2A1" w14:textId="77777777" w:rsidTr="7ADA12B7">
        <w:tc>
          <w:tcPr>
            <w:tcW w:w="2977" w:type="dxa"/>
          </w:tcPr>
          <w:p w14:paraId="21631147" w14:textId="0EC9384D" w:rsidR="009D1AB4" w:rsidRDefault="000B492E" w:rsidP="00277E19">
            <w:pPr>
              <w:pStyle w:val="Body"/>
            </w:pPr>
            <w:r w:rsidRPr="000B492E">
              <w:t>Develop and maintain a long-term plan which delivers agreed outcomes</w:t>
            </w:r>
          </w:p>
        </w:tc>
        <w:tc>
          <w:tcPr>
            <w:tcW w:w="6946" w:type="dxa"/>
          </w:tcPr>
          <w:p w14:paraId="4BE811E7" w14:textId="77777777" w:rsidR="000B492E" w:rsidRDefault="000B492E" w:rsidP="000B492E">
            <w:pPr>
              <w:pStyle w:val="Body"/>
            </w:pPr>
            <w:r>
              <w:t>Determining and clearly identifying priorities and required outcomes</w:t>
            </w:r>
          </w:p>
          <w:p w14:paraId="2103A1E9" w14:textId="77777777" w:rsidR="000B492E" w:rsidRDefault="000B492E" w:rsidP="000B492E">
            <w:pPr>
              <w:pStyle w:val="Body"/>
            </w:pPr>
            <w:r>
              <w:t>Ascertaining how results will be achieved</w:t>
            </w:r>
          </w:p>
          <w:p w14:paraId="23673D11" w14:textId="77777777" w:rsidR="000B492E" w:rsidRDefault="000B492E" w:rsidP="000B492E">
            <w:pPr>
              <w:pStyle w:val="Body"/>
            </w:pPr>
            <w:r>
              <w:t>Scoping and defining work programmes and project plans, identifying dependencies, and competing priorities</w:t>
            </w:r>
          </w:p>
          <w:p w14:paraId="4A9E6B59" w14:textId="77777777" w:rsidR="000B492E" w:rsidRDefault="000B492E" w:rsidP="000B492E">
            <w:pPr>
              <w:pStyle w:val="Body"/>
            </w:pPr>
            <w:r>
              <w:t>Identifying and agreeing budget and resource requirements</w:t>
            </w:r>
          </w:p>
          <w:p w14:paraId="3213FB7F" w14:textId="3A891BAF" w:rsidR="009D1AB4" w:rsidRDefault="000B492E" w:rsidP="000B492E">
            <w:pPr>
              <w:pStyle w:val="Body"/>
            </w:pPr>
            <w:r>
              <w:t>Actively managing resources to ensure availability and optimising efficiencies across work programmes/plans</w:t>
            </w:r>
          </w:p>
        </w:tc>
      </w:tr>
      <w:tr w:rsidR="009D1AB4" w14:paraId="72DB6B57" w14:textId="77777777" w:rsidTr="7ADA12B7">
        <w:tc>
          <w:tcPr>
            <w:tcW w:w="2977" w:type="dxa"/>
          </w:tcPr>
          <w:p w14:paraId="039FECE0" w14:textId="66C19574" w:rsidR="009D1AB4" w:rsidRDefault="000B492E" w:rsidP="00277E19">
            <w:pPr>
              <w:pStyle w:val="Body"/>
            </w:pPr>
            <w:r w:rsidRPr="000B492E">
              <w:lastRenderedPageBreak/>
              <w:t>Measure and provide comprehensive insights into work progress and results</w:t>
            </w:r>
          </w:p>
        </w:tc>
        <w:tc>
          <w:tcPr>
            <w:tcW w:w="6946" w:type="dxa"/>
          </w:tcPr>
          <w:p w14:paraId="060DB75F" w14:textId="77777777" w:rsidR="00A71E74" w:rsidRDefault="00A71E74" w:rsidP="00A71E74">
            <w:pPr>
              <w:pStyle w:val="Body"/>
              <w:jc w:val="both"/>
            </w:pPr>
            <w:r>
              <w:t xml:space="preserve">Ensure work planning and prioritisation is informed by research insights, measurement data and project learnings/evaluation </w:t>
            </w:r>
          </w:p>
          <w:p w14:paraId="7703F0D5" w14:textId="77777777" w:rsidR="000B492E" w:rsidRDefault="000B492E" w:rsidP="000B492E">
            <w:r>
              <w:t>Producing regular reporting to provide updates and information for decision makers</w:t>
            </w:r>
          </w:p>
          <w:p w14:paraId="6BE6085B" w14:textId="27D3255B" w:rsidR="009D1AB4" w:rsidRDefault="000B492E" w:rsidP="00ED20C0">
            <w:r>
              <w:t>Identifying critical risks or issues and determining and/or implementing appropriate solutions</w:t>
            </w:r>
          </w:p>
        </w:tc>
      </w:tr>
      <w:tr w:rsidR="009D1AB4" w14:paraId="272CE789" w14:textId="77777777" w:rsidTr="7ADA12B7">
        <w:tc>
          <w:tcPr>
            <w:tcW w:w="2977" w:type="dxa"/>
          </w:tcPr>
          <w:p w14:paraId="66B1D22D" w14:textId="039983D1" w:rsidR="009D1AB4" w:rsidRPr="00674307" w:rsidRDefault="000B492E" w:rsidP="00277E19">
            <w:pPr>
              <w:pStyle w:val="Body"/>
            </w:pPr>
            <w:r w:rsidRPr="000B492E">
              <w:t>Provide effective advice or service to a significant part of the Group or Department</w:t>
            </w:r>
          </w:p>
        </w:tc>
        <w:tc>
          <w:tcPr>
            <w:tcW w:w="6946" w:type="dxa"/>
          </w:tcPr>
          <w:p w14:paraId="0B7912BB" w14:textId="77777777" w:rsidR="000B492E" w:rsidRPr="000B492E" w:rsidRDefault="000B492E" w:rsidP="000B492E">
            <w:pPr>
              <w:rPr>
                <w:rFonts w:cstheme="minorHAnsi"/>
                <w:noProof/>
              </w:rPr>
            </w:pPr>
            <w:r w:rsidRPr="000B492E">
              <w:rPr>
                <w:rFonts w:cstheme="minorHAnsi"/>
                <w:noProof/>
              </w:rPr>
              <w:t>Responding promptly and competently to requests for information, advice or the provision of services</w:t>
            </w:r>
          </w:p>
          <w:p w14:paraId="3ED041C3" w14:textId="77777777" w:rsidR="000B492E" w:rsidRPr="000B492E" w:rsidRDefault="000B492E" w:rsidP="000B492E">
            <w:pPr>
              <w:rPr>
                <w:rFonts w:cstheme="minorHAnsi"/>
                <w:noProof/>
              </w:rPr>
            </w:pPr>
            <w:r w:rsidRPr="000B492E">
              <w:rPr>
                <w:rFonts w:cstheme="minorHAnsi"/>
                <w:noProof/>
              </w:rPr>
              <w:t>Building networks and/or identifying alternative providers for unusual or unique requests</w:t>
            </w:r>
          </w:p>
          <w:p w14:paraId="5677A7A9" w14:textId="77777777" w:rsidR="000B492E" w:rsidRPr="000B492E" w:rsidRDefault="000B492E" w:rsidP="000B492E">
            <w:pPr>
              <w:rPr>
                <w:rFonts w:cstheme="minorHAnsi"/>
                <w:noProof/>
              </w:rPr>
            </w:pPr>
            <w:r w:rsidRPr="000B492E">
              <w:rPr>
                <w:rFonts w:cstheme="minorHAnsi"/>
                <w:noProof/>
              </w:rPr>
              <w:t>Gathering feedback from customers and other stakeholders and seeing opportunities for improvement</w:t>
            </w:r>
          </w:p>
          <w:p w14:paraId="4767E5B8" w14:textId="77777777" w:rsidR="000B492E" w:rsidRPr="000B492E" w:rsidRDefault="000B492E" w:rsidP="000B492E">
            <w:pPr>
              <w:rPr>
                <w:rFonts w:cstheme="minorHAnsi"/>
                <w:noProof/>
              </w:rPr>
            </w:pPr>
            <w:r w:rsidRPr="000B492E">
              <w:rPr>
                <w:rFonts w:cstheme="minorHAnsi"/>
                <w:noProof/>
              </w:rPr>
              <w:t>Growing and maintaining an in-depth knowledge of customers current and future needs to anticipate and meet their requirements</w:t>
            </w:r>
          </w:p>
          <w:p w14:paraId="76654C4C" w14:textId="77E4B030" w:rsidR="009D1AB4" w:rsidRPr="00674307" w:rsidRDefault="000B492E" w:rsidP="000B492E">
            <w:pPr>
              <w:rPr>
                <w:rFonts w:cstheme="minorHAnsi"/>
                <w:noProof/>
              </w:rPr>
            </w:pPr>
            <w:r w:rsidRPr="000B492E">
              <w:rPr>
                <w:rFonts w:cstheme="minorHAnsi"/>
                <w:noProof/>
              </w:rPr>
              <w:t>Maintaining own knowledge and awareness of current or emerging trends, technologies, or developments to ensure you remain informed and up to date</w:t>
            </w:r>
          </w:p>
        </w:tc>
      </w:tr>
    </w:tbl>
    <w:p w14:paraId="0DE4E4B8" w14:textId="77777777" w:rsidR="009D1AB4" w:rsidRDefault="009D1AB4">
      <w:pPr>
        <w:spacing w:before="0" w:after="0"/>
        <w:rPr>
          <w:rFonts w:cs="Arial"/>
          <w:b/>
          <w:bCs/>
          <w:sz w:val="24"/>
          <w:szCs w:val="26"/>
        </w:rPr>
      </w:pPr>
    </w:p>
    <w:tbl>
      <w:tblPr>
        <w:tblStyle w:val="TableGrid"/>
        <w:tblW w:w="9905" w:type="dxa"/>
        <w:tblInd w:w="-142" w:type="dxa"/>
        <w:tblBorders>
          <w:left w:val="none" w:sz="0" w:space="0" w:color="auto"/>
          <w:right w:val="none" w:sz="0" w:space="0" w:color="auto"/>
        </w:tblBorders>
        <w:tblLook w:val="04A0" w:firstRow="1" w:lastRow="0" w:firstColumn="1" w:lastColumn="0" w:noHBand="0" w:noVBand="1"/>
      </w:tblPr>
      <w:tblGrid>
        <w:gridCol w:w="1985"/>
        <w:gridCol w:w="7920"/>
      </w:tblGrid>
      <w:tr w:rsidR="009D1AB4" w:rsidRPr="00C6684A" w14:paraId="72943FB1" w14:textId="77777777" w:rsidTr="00231922">
        <w:trPr>
          <w:tblHeader/>
        </w:trPr>
        <w:tc>
          <w:tcPr>
            <w:tcW w:w="9905" w:type="dxa"/>
            <w:gridSpan w:val="2"/>
            <w:tcBorders>
              <w:left w:val="single" w:sz="4" w:space="0" w:color="auto"/>
              <w:right w:val="single" w:sz="4" w:space="0" w:color="auto"/>
            </w:tcBorders>
            <w:shd w:val="clear" w:color="auto" w:fill="D9E2F3" w:themeFill="accent1" w:themeFillTint="33"/>
          </w:tcPr>
          <w:p w14:paraId="21270FC2" w14:textId="77777777" w:rsidR="009D1AB4" w:rsidRPr="00C6684A" w:rsidRDefault="009D1AB4" w:rsidP="006862C7">
            <w:pPr>
              <w:pStyle w:val="Body"/>
              <w:jc w:val="both"/>
              <w:rPr>
                <w:b/>
                <w:bCs/>
                <w:sz w:val="24"/>
                <w:szCs w:val="26"/>
              </w:rPr>
            </w:pPr>
            <w:r w:rsidRPr="00C6684A">
              <w:rPr>
                <w:b/>
                <w:bCs/>
                <w:sz w:val="24"/>
                <w:szCs w:val="26"/>
              </w:rPr>
              <w:t>Capabilities Required</w:t>
            </w:r>
          </w:p>
        </w:tc>
      </w:tr>
      <w:tr w:rsidR="00CF5E15" w14:paraId="68EC3FBB" w14:textId="77777777" w:rsidTr="005C2138">
        <w:tc>
          <w:tcPr>
            <w:tcW w:w="1985" w:type="dxa"/>
            <w:tcBorders>
              <w:left w:val="single" w:sz="4" w:space="0" w:color="auto"/>
            </w:tcBorders>
          </w:tcPr>
          <w:p w14:paraId="050BA782" w14:textId="602F3170" w:rsidR="00CF5E15" w:rsidRPr="00DF6D04" w:rsidRDefault="00CF5E15" w:rsidP="00CF5E15">
            <w:pPr>
              <w:pStyle w:val="Body"/>
              <w:rPr>
                <w:szCs w:val="22"/>
              </w:rPr>
            </w:pPr>
            <w:r w:rsidRPr="00065E2C">
              <w:rPr>
                <w:szCs w:val="22"/>
              </w:rPr>
              <w:t>Functional</w:t>
            </w:r>
          </w:p>
        </w:tc>
        <w:tc>
          <w:tcPr>
            <w:tcW w:w="7920" w:type="dxa"/>
            <w:tcBorders>
              <w:right w:val="single" w:sz="4" w:space="0" w:color="auto"/>
            </w:tcBorders>
          </w:tcPr>
          <w:p w14:paraId="0D887407" w14:textId="7F24F671" w:rsidR="00CF5E15" w:rsidRPr="00065E2C" w:rsidRDefault="00242A01" w:rsidP="00CF5E15">
            <w:pPr>
              <w:ind w:right="181"/>
              <w:textAlignment w:val="baseline"/>
              <w:rPr>
                <w:rFonts w:cs="Segoe UI"/>
                <w:szCs w:val="22"/>
                <w:lang w:eastAsia="en-NZ"/>
              </w:rPr>
            </w:pPr>
            <w:r>
              <w:rPr>
                <w:rFonts w:cs="Segoe UI"/>
                <w:szCs w:val="22"/>
                <w:lang w:eastAsia="en-NZ"/>
              </w:rPr>
              <w:t>U</w:t>
            </w:r>
            <w:r w:rsidR="00CF5E15" w:rsidRPr="00065E2C">
              <w:rPr>
                <w:rFonts w:cs="Segoe UI"/>
                <w:szCs w:val="22"/>
                <w:lang w:eastAsia="en-NZ"/>
              </w:rPr>
              <w:t>nderstanding of public, community and stakeholder engagement and education practices, techniques, concepts and theoretical principles</w:t>
            </w:r>
            <w:r>
              <w:rPr>
                <w:rFonts w:cs="Segoe UI"/>
                <w:szCs w:val="22"/>
                <w:lang w:eastAsia="en-NZ"/>
              </w:rPr>
              <w:t xml:space="preserve"> as related to area of </w:t>
            </w:r>
            <w:proofErr w:type="gramStart"/>
            <w:r>
              <w:rPr>
                <w:rFonts w:cs="Segoe UI"/>
                <w:szCs w:val="22"/>
                <w:lang w:eastAsia="en-NZ"/>
              </w:rPr>
              <w:t>work</w:t>
            </w:r>
            <w:proofErr w:type="gramEnd"/>
          </w:p>
          <w:p w14:paraId="2B25EC70" w14:textId="663A1B8B" w:rsidR="00CF5E15" w:rsidRPr="00B5131E" w:rsidRDefault="00CF5E15" w:rsidP="00CF5E15">
            <w:pPr>
              <w:ind w:right="181"/>
              <w:textAlignment w:val="baseline"/>
              <w:rPr>
                <w:rFonts w:cs="Segoe UI"/>
                <w:szCs w:val="22"/>
                <w:lang w:eastAsia="en-NZ"/>
              </w:rPr>
            </w:pPr>
            <w:r w:rsidRPr="00065E2C">
              <w:rPr>
                <w:rFonts w:cs="Segoe UI"/>
                <w:szCs w:val="22"/>
                <w:lang w:eastAsia="en-NZ"/>
              </w:rPr>
              <w:t xml:space="preserve">Experience in </w:t>
            </w:r>
            <w:r w:rsidR="00242A01">
              <w:rPr>
                <w:rFonts w:cs="Segoe UI"/>
                <w:szCs w:val="22"/>
                <w:lang w:eastAsia="en-NZ"/>
              </w:rPr>
              <w:t xml:space="preserve">delivering </w:t>
            </w:r>
            <w:r w:rsidRPr="00065E2C">
              <w:rPr>
                <w:rFonts w:cs="Segoe UI"/>
                <w:szCs w:val="22"/>
                <w:lang w:eastAsia="en-NZ"/>
              </w:rPr>
              <w:t>strategy and systems to support achievement of organisational outcomes</w:t>
            </w:r>
          </w:p>
        </w:tc>
      </w:tr>
      <w:tr w:rsidR="00CF5E15" w14:paraId="31EDC5F4" w14:textId="77777777" w:rsidTr="005C2138">
        <w:tc>
          <w:tcPr>
            <w:tcW w:w="1985" w:type="dxa"/>
            <w:tcBorders>
              <w:left w:val="single" w:sz="4" w:space="0" w:color="auto"/>
            </w:tcBorders>
          </w:tcPr>
          <w:p w14:paraId="6F2EF080" w14:textId="783D45CD" w:rsidR="00CF5E15" w:rsidRPr="00DF6D04" w:rsidRDefault="00CF5E15" w:rsidP="00CF5E15">
            <w:pPr>
              <w:pStyle w:val="Body"/>
              <w:rPr>
                <w:szCs w:val="22"/>
              </w:rPr>
            </w:pPr>
            <w:r w:rsidRPr="00DF6D04">
              <w:rPr>
                <w:szCs w:val="22"/>
              </w:rPr>
              <w:t>Treaty Partnership</w:t>
            </w:r>
          </w:p>
        </w:tc>
        <w:tc>
          <w:tcPr>
            <w:tcW w:w="7920" w:type="dxa"/>
            <w:tcBorders>
              <w:right w:val="single" w:sz="4" w:space="0" w:color="auto"/>
            </w:tcBorders>
          </w:tcPr>
          <w:p w14:paraId="01D6DFCA"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Has a sound understanding of the impact DOC and the wider public sector/government has on the Māori Crown relationship, and the obligations of the Crown under the Treaty of Waitangi in own area of work</w:t>
            </w:r>
          </w:p>
          <w:p w14:paraId="2B54066D"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Has general understanding of mātauranga Māori relevant to own subject area, and is knowledgeable about the range of current Māori views on subject area</w:t>
            </w:r>
          </w:p>
          <w:p w14:paraId="5187465C"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Has an awareness of the differences between Māori and non-Māori world views and how to access more knowledge</w:t>
            </w:r>
          </w:p>
          <w:p w14:paraId="4DA32232"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Has a broad understanding of how Treaty settlement commitments impact own area of responsibility</w:t>
            </w:r>
          </w:p>
          <w:p w14:paraId="090F7AFC" w14:textId="0663ABCA" w:rsidR="00CF5E15" w:rsidRPr="00B5131E" w:rsidRDefault="00CF5E15" w:rsidP="00CF5E15">
            <w:pPr>
              <w:textAlignment w:val="baseline"/>
              <w:rPr>
                <w:rFonts w:cs="Segoe UI"/>
                <w:szCs w:val="22"/>
                <w:lang w:eastAsia="en-NZ"/>
              </w:rPr>
            </w:pPr>
            <w:r w:rsidRPr="00B5131E">
              <w:rPr>
                <w:rFonts w:cs="Segoe UI"/>
                <w:szCs w:val="22"/>
                <w:lang w:eastAsia="en-NZ"/>
              </w:rPr>
              <w:t xml:space="preserve">Demonstrates a sound understanding of </w:t>
            </w:r>
            <w:proofErr w:type="spellStart"/>
            <w:r w:rsidRPr="00B5131E">
              <w:rPr>
                <w:rFonts w:cs="Segoe UI"/>
                <w:szCs w:val="22"/>
                <w:lang w:eastAsia="en-NZ"/>
              </w:rPr>
              <w:t>te</w:t>
            </w:r>
            <w:proofErr w:type="spellEnd"/>
            <w:r w:rsidRPr="00B5131E">
              <w:rPr>
                <w:rFonts w:cs="Segoe UI"/>
                <w:szCs w:val="22"/>
                <w:lang w:eastAsia="en-NZ"/>
              </w:rPr>
              <w:t xml:space="preserve"> </w:t>
            </w:r>
            <w:proofErr w:type="spellStart"/>
            <w:r w:rsidRPr="00B5131E">
              <w:rPr>
                <w:rFonts w:cs="Segoe UI"/>
                <w:szCs w:val="22"/>
                <w:lang w:eastAsia="en-NZ"/>
              </w:rPr>
              <w:t>ao</w:t>
            </w:r>
            <w:proofErr w:type="spellEnd"/>
            <w:r w:rsidRPr="00B5131E">
              <w:rPr>
                <w:rFonts w:cs="Segoe UI"/>
                <w:szCs w:val="22"/>
                <w:lang w:eastAsia="en-NZ"/>
              </w:rPr>
              <w:t xml:space="preserve"> Māori, </w:t>
            </w:r>
            <w:proofErr w:type="spellStart"/>
            <w:r w:rsidRPr="00B5131E">
              <w:rPr>
                <w:rFonts w:cs="Segoe UI"/>
                <w:szCs w:val="22"/>
                <w:lang w:eastAsia="en-NZ"/>
              </w:rPr>
              <w:t>te</w:t>
            </w:r>
            <w:proofErr w:type="spellEnd"/>
            <w:r w:rsidRPr="00B5131E">
              <w:rPr>
                <w:rFonts w:cs="Segoe UI"/>
                <w:szCs w:val="22"/>
                <w:lang w:eastAsia="en-NZ"/>
              </w:rPr>
              <w:t xml:space="preserve"> </w:t>
            </w:r>
            <w:proofErr w:type="spellStart"/>
            <w:r w:rsidRPr="00B5131E">
              <w:rPr>
                <w:rFonts w:cs="Segoe UI"/>
                <w:szCs w:val="22"/>
                <w:lang w:eastAsia="en-NZ"/>
              </w:rPr>
              <w:t>reo</w:t>
            </w:r>
            <w:proofErr w:type="spellEnd"/>
            <w:r w:rsidRPr="00B5131E">
              <w:rPr>
                <w:rFonts w:cs="Segoe UI"/>
                <w:szCs w:val="22"/>
                <w:lang w:eastAsia="en-NZ"/>
              </w:rPr>
              <w:t xml:space="preserve"> me </w:t>
            </w:r>
            <w:proofErr w:type="spellStart"/>
            <w:r w:rsidRPr="00B5131E">
              <w:rPr>
                <w:rFonts w:cs="Segoe UI"/>
                <w:szCs w:val="22"/>
                <w:lang w:eastAsia="en-NZ"/>
              </w:rPr>
              <w:t>nga</w:t>
            </w:r>
            <w:proofErr w:type="spellEnd"/>
            <w:r w:rsidRPr="00B5131E">
              <w:rPr>
                <w:rFonts w:cs="Segoe UI"/>
                <w:szCs w:val="22"/>
                <w:lang w:eastAsia="en-NZ"/>
              </w:rPr>
              <w:t xml:space="preserve"> tikanga Māori  </w:t>
            </w:r>
          </w:p>
        </w:tc>
      </w:tr>
      <w:tr w:rsidR="00CF5E15" w:rsidRPr="00B5131E" w14:paraId="1CECFB0C" w14:textId="77777777" w:rsidTr="00F600E2">
        <w:tblPrEx>
          <w:tblBorders>
            <w:left w:val="single" w:sz="4" w:space="0" w:color="auto"/>
            <w:right w:val="single" w:sz="4" w:space="0" w:color="auto"/>
          </w:tblBorders>
        </w:tblPrEx>
        <w:tc>
          <w:tcPr>
            <w:tcW w:w="1985" w:type="dxa"/>
            <w:tcBorders>
              <w:top w:val="single" w:sz="4" w:space="0" w:color="auto"/>
              <w:left w:val="single" w:sz="4" w:space="0" w:color="auto"/>
              <w:bottom w:val="single" w:sz="4" w:space="0" w:color="auto"/>
              <w:right w:val="single" w:sz="4" w:space="0" w:color="auto"/>
            </w:tcBorders>
          </w:tcPr>
          <w:p w14:paraId="4AE3AD36" w14:textId="34B0A2B8" w:rsidR="00CF5E15" w:rsidRPr="00DF6D04" w:rsidRDefault="00CF5E15" w:rsidP="00CF5E15">
            <w:pPr>
              <w:pStyle w:val="Body"/>
              <w:rPr>
                <w:szCs w:val="22"/>
              </w:rPr>
            </w:pPr>
            <w:r w:rsidRPr="00DF6D04">
              <w:rPr>
                <w:szCs w:val="22"/>
              </w:rPr>
              <w:t>Decision Making and Reasoning</w:t>
            </w:r>
          </w:p>
        </w:tc>
        <w:tc>
          <w:tcPr>
            <w:tcW w:w="7920" w:type="dxa"/>
          </w:tcPr>
          <w:p w14:paraId="0A457CCB"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 xml:space="preserve">Able to apply high level analytical or creative reasoning to solve complex problems and devise strategies and policies  </w:t>
            </w:r>
          </w:p>
          <w:p w14:paraId="26D134E4"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 xml:space="preserve">Able to integrate wide ranging information to support effective decision making </w:t>
            </w:r>
          </w:p>
          <w:p w14:paraId="02694E49" w14:textId="42E6CAB2" w:rsidR="00CF5E15" w:rsidRPr="00B5131E" w:rsidRDefault="00CF5E15" w:rsidP="00CF5E15">
            <w:pPr>
              <w:pStyle w:val="Body"/>
              <w:rPr>
                <w:szCs w:val="22"/>
              </w:rPr>
            </w:pPr>
            <w:r w:rsidRPr="00B5131E">
              <w:rPr>
                <w:rFonts w:cs="Segoe UI"/>
                <w:szCs w:val="22"/>
                <w:lang w:eastAsia="en-NZ"/>
              </w:rPr>
              <w:lastRenderedPageBreak/>
              <w:t>Practiced at seeking different perspectives to check for and mitigate unconscious bias</w:t>
            </w:r>
          </w:p>
        </w:tc>
      </w:tr>
      <w:tr w:rsidR="00CF5E15" w:rsidRPr="00B5131E" w14:paraId="40C48105" w14:textId="77777777" w:rsidTr="00F600E2">
        <w:tblPrEx>
          <w:tblBorders>
            <w:left w:val="single" w:sz="4" w:space="0" w:color="auto"/>
            <w:right w:val="single" w:sz="4" w:space="0" w:color="auto"/>
          </w:tblBorders>
        </w:tblPrEx>
        <w:tc>
          <w:tcPr>
            <w:tcW w:w="1985" w:type="dxa"/>
            <w:tcBorders>
              <w:top w:val="single" w:sz="4" w:space="0" w:color="auto"/>
              <w:left w:val="single" w:sz="4" w:space="0" w:color="auto"/>
              <w:bottom w:val="single" w:sz="4" w:space="0" w:color="auto"/>
              <w:right w:val="single" w:sz="4" w:space="0" w:color="auto"/>
            </w:tcBorders>
          </w:tcPr>
          <w:p w14:paraId="0890FA91" w14:textId="33A598F7" w:rsidR="00CF5E15" w:rsidRPr="00DF6D04" w:rsidRDefault="00CF5E15" w:rsidP="00CF5E15">
            <w:pPr>
              <w:pStyle w:val="Body"/>
              <w:rPr>
                <w:szCs w:val="22"/>
              </w:rPr>
            </w:pPr>
            <w:r w:rsidRPr="00DF6D04">
              <w:rPr>
                <w:szCs w:val="22"/>
              </w:rPr>
              <w:lastRenderedPageBreak/>
              <w:t>Collaboration</w:t>
            </w:r>
          </w:p>
        </w:tc>
        <w:tc>
          <w:tcPr>
            <w:tcW w:w="7920" w:type="dxa"/>
          </w:tcPr>
          <w:p w14:paraId="2AFAED86"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Seeks to find common ground to solve problems</w:t>
            </w:r>
          </w:p>
          <w:p w14:paraId="777705DE"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Able to work effectively with peers to solve problems</w:t>
            </w:r>
          </w:p>
          <w:p w14:paraId="2C290DD6"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 xml:space="preserve">Gains trust easily and supports peers </w:t>
            </w:r>
          </w:p>
          <w:p w14:paraId="58FEC47B" w14:textId="3E048BB5" w:rsidR="00CF5E15" w:rsidRPr="00B5131E" w:rsidRDefault="00CF5E15" w:rsidP="00CF5E15">
            <w:pPr>
              <w:pStyle w:val="Body"/>
              <w:rPr>
                <w:noProof/>
                <w:szCs w:val="22"/>
              </w:rPr>
            </w:pPr>
            <w:r w:rsidRPr="00B5131E">
              <w:rPr>
                <w:rFonts w:cs="Segoe UI"/>
                <w:szCs w:val="22"/>
                <w:lang w:eastAsia="en-NZ"/>
              </w:rPr>
              <w:t>Demonstrates and fosters collaboration across the organisation</w:t>
            </w:r>
          </w:p>
        </w:tc>
      </w:tr>
      <w:tr w:rsidR="00CF5E15" w:rsidRPr="00B5131E" w14:paraId="1D28542C" w14:textId="77777777" w:rsidTr="00F600E2">
        <w:tblPrEx>
          <w:tblBorders>
            <w:left w:val="single" w:sz="4" w:space="0" w:color="auto"/>
            <w:right w:val="single" w:sz="4" w:space="0" w:color="auto"/>
          </w:tblBorders>
        </w:tblPrEx>
        <w:tc>
          <w:tcPr>
            <w:tcW w:w="1985" w:type="dxa"/>
            <w:tcBorders>
              <w:top w:val="single" w:sz="4" w:space="0" w:color="auto"/>
              <w:left w:val="single" w:sz="4" w:space="0" w:color="auto"/>
              <w:bottom w:val="single" w:sz="4" w:space="0" w:color="auto"/>
              <w:right w:val="single" w:sz="4" w:space="0" w:color="auto"/>
            </w:tcBorders>
          </w:tcPr>
          <w:p w14:paraId="1E841187" w14:textId="63A99E72" w:rsidR="00CF5E15" w:rsidRPr="00DF6D04" w:rsidRDefault="00CF5E15" w:rsidP="00CF5E15">
            <w:pPr>
              <w:pStyle w:val="Body"/>
              <w:rPr>
                <w:szCs w:val="22"/>
              </w:rPr>
            </w:pPr>
            <w:r w:rsidRPr="00DF6D04">
              <w:rPr>
                <w:szCs w:val="22"/>
              </w:rPr>
              <w:t>Organisation Leadership</w:t>
            </w:r>
          </w:p>
        </w:tc>
        <w:tc>
          <w:tcPr>
            <w:tcW w:w="7920" w:type="dxa"/>
          </w:tcPr>
          <w:p w14:paraId="4F7064BC"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 xml:space="preserve">Develops, implements and engages others in group vision and strategy, and thinks and acts </w:t>
            </w:r>
            <w:proofErr w:type="gramStart"/>
            <w:r w:rsidRPr="00B5131E">
              <w:rPr>
                <w:rFonts w:cs="Segoe UI"/>
                <w:szCs w:val="22"/>
                <w:lang w:eastAsia="en-NZ"/>
              </w:rPr>
              <w:t>strategically</w:t>
            </w:r>
            <w:proofErr w:type="gramEnd"/>
          </w:p>
          <w:p w14:paraId="25D5732A"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 xml:space="preserve">Able to influences senior stakeholders, proactively informs, and provides frank advice on sensitive issues </w:t>
            </w:r>
          </w:p>
          <w:p w14:paraId="08AFD732"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Has a broad understanding of government processes and politics and key interfaces with government and other public sector agencies</w:t>
            </w:r>
          </w:p>
          <w:p w14:paraId="5CDF50D6"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Fosters culture of innovation, drives system and process improvements</w:t>
            </w:r>
          </w:p>
          <w:p w14:paraId="76AB1A99" w14:textId="7E2CFA01" w:rsidR="00CF5E15" w:rsidRPr="00B5131E" w:rsidRDefault="00CF5E15" w:rsidP="00CF5E15">
            <w:pPr>
              <w:pStyle w:val="Body"/>
              <w:rPr>
                <w:noProof/>
                <w:szCs w:val="22"/>
              </w:rPr>
            </w:pPr>
            <w:r w:rsidRPr="00B5131E">
              <w:rPr>
                <w:rFonts w:cs="Segoe UI"/>
                <w:szCs w:val="22"/>
                <w:lang w:eastAsia="en-NZ"/>
              </w:rPr>
              <w:t>Leads cross-functional work across DOC and contributes to wider organisational outcomes</w:t>
            </w:r>
          </w:p>
        </w:tc>
      </w:tr>
      <w:tr w:rsidR="00CF5E15" w:rsidRPr="00B5131E" w14:paraId="4FC7BB96" w14:textId="77777777" w:rsidTr="00F600E2">
        <w:tblPrEx>
          <w:tblBorders>
            <w:left w:val="single" w:sz="4" w:space="0" w:color="auto"/>
            <w:right w:val="single" w:sz="4" w:space="0" w:color="auto"/>
          </w:tblBorders>
        </w:tblPrEx>
        <w:tc>
          <w:tcPr>
            <w:tcW w:w="1985" w:type="dxa"/>
            <w:tcBorders>
              <w:top w:val="single" w:sz="4" w:space="0" w:color="auto"/>
              <w:left w:val="single" w:sz="4" w:space="0" w:color="auto"/>
              <w:bottom w:val="single" w:sz="4" w:space="0" w:color="auto"/>
              <w:right w:val="single" w:sz="4" w:space="0" w:color="auto"/>
            </w:tcBorders>
          </w:tcPr>
          <w:p w14:paraId="2F31E7BD" w14:textId="2AEF5C57" w:rsidR="00CF5E15" w:rsidRPr="00DF6D04" w:rsidRDefault="00CF5E15" w:rsidP="00CF5E15">
            <w:pPr>
              <w:pStyle w:val="Body"/>
              <w:rPr>
                <w:szCs w:val="22"/>
              </w:rPr>
            </w:pPr>
            <w:r w:rsidRPr="00DF6D04">
              <w:rPr>
                <w:szCs w:val="22"/>
              </w:rPr>
              <w:t>Delivery of Results</w:t>
            </w:r>
          </w:p>
        </w:tc>
        <w:tc>
          <w:tcPr>
            <w:tcW w:w="7920" w:type="dxa"/>
          </w:tcPr>
          <w:p w14:paraId="1E7FF785"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Demonstrated ability to plan and organise large and complex programmes of work</w:t>
            </w:r>
          </w:p>
          <w:p w14:paraId="2E47663C"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 xml:space="preserve">Able to manage and deliver on diverse work priorities by effectively allocating time and resources </w:t>
            </w:r>
          </w:p>
          <w:p w14:paraId="5F11FA99" w14:textId="0429D920" w:rsidR="00CF5E15" w:rsidRPr="00B5131E" w:rsidRDefault="00CF5E15" w:rsidP="00CF5E15">
            <w:pPr>
              <w:textAlignment w:val="baseline"/>
              <w:rPr>
                <w:szCs w:val="22"/>
              </w:rPr>
            </w:pPr>
            <w:r w:rsidRPr="00B5131E">
              <w:rPr>
                <w:rFonts w:cs="Segoe UI"/>
                <w:szCs w:val="22"/>
                <w:lang w:eastAsia="en-NZ"/>
              </w:rPr>
              <w:t>Able to manage risk effectively through appropriate identification, categorisation, and evaluation and/or mitigation</w:t>
            </w:r>
          </w:p>
        </w:tc>
      </w:tr>
      <w:tr w:rsidR="00CF5E15" w:rsidRPr="00B5131E" w14:paraId="250B0A3A" w14:textId="77777777" w:rsidTr="00F600E2">
        <w:tblPrEx>
          <w:tblBorders>
            <w:left w:val="single" w:sz="4" w:space="0" w:color="auto"/>
            <w:right w:val="single" w:sz="4" w:space="0" w:color="auto"/>
          </w:tblBorders>
        </w:tblPrEx>
        <w:tc>
          <w:tcPr>
            <w:tcW w:w="1985" w:type="dxa"/>
            <w:tcBorders>
              <w:top w:val="single" w:sz="4" w:space="0" w:color="auto"/>
              <w:left w:val="single" w:sz="4" w:space="0" w:color="auto"/>
              <w:bottom w:val="single" w:sz="4" w:space="0" w:color="auto"/>
              <w:right w:val="single" w:sz="4" w:space="0" w:color="auto"/>
            </w:tcBorders>
          </w:tcPr>
          <w:p w14:paraId="3C745AEF" w14:textId="3B7AFF41" w:rsidR="00CF5E15" w:rsidRPr="00DF6D04" w:rsidRDefault="00CF5E15" w:rsidP="00CF5E15">
            <w:pPr>
              <w:pStyle w:val="Body"/>
              <w:rPr>
                <w:szCs w:val="22"/>
              </w:rPr>
            </w:pPr>
            <w:r w:rsidRPr="00DF6D04">
              <w:rPr>
                <w:szCs w:val="22"/>
              </w:rPr>
              <w:t>Relationship Building and Stakeholder Management</w:t>
            </w:r>
          </w:p>
        </w:tc>
        <w:tc>
          <w:tcPr>
            <w:tcW w:w="7920" w:type="dxa"/>
            <w:tcBorders>
              <w:top w:val="single" w:sz="4" w:space="0" w:color="auto"/>
              <w:left w:val="single" w:sz="4" w:space="0" w:color="auto"/>
              <w:bottom w:val="single" w:sz="4" w:space="0" w:color="auto"/>
              <w:right w:val="single" w:sz="4" w:space="0" w:color="auto"/>
            </w:tcBorders>
          </w:tcPr>
          <w:p w14:paraId="547B657C"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Works cooperatively and collaboratively with others across DOC; builds relationships with external stakeholders and partners</w:t>
            </w:r>
          </w:p>
          <w:p w14:paraId="1CF11D1E"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Connects with others, builds trust and listens</w:t>
            </w:r>
          </w:p>
          <w:p w14:paraId="775F7B53" w14:textId="180A5A93" w:rsidR="00CF5E15" w:rsidRPr="00B5131E" w:rsidRDefault="00CF5E15" w:rsidP="00CF5E15">
            <w:pPr>
              <w:ind w:right="181"/>
              <w:textAlignment w:val="baseline"/>
              <w:rPr>
                <w:rFonts w:cs="Segoe UI"/>
                <w:szCs w:val="22"/>
                <w:lang w:eastAsia="en-NZ"/>
              </w:rPr>
            </w:pPr>
            <w:r w:rsidRPr="00B5131E">
              <w:rPr>
                <w:rFonts w:cs="Segoe UI"/>
                <w:szCs w:val="22"/>
                <w:lang w:eastAsia="en-NZ"/>
              </w:rPr>
              <w:t>Leads effective relationships with external stakeholders and partners across government and beyond to achieve conservation outcomes</w:t>
            </w:r>
          </w:p>
        </w:tc>
      </w:tr>
      <w:tr w:rsidR="00CF5E15" w:rsidRPr="00B5131E" w14:paraId="7CDBCE96" w14:textId="77777777" w:rsidTr="00F600E2">
        <w:tblPrEx>
          <w:tblBorders>
            <w:left w:val="single" w:sz="4" w:space="0" w:color="auto"/>
            <w:right w:val="single" w:sz="4" w:space="0" w:color="auto"/>
          </w:tblBorders>
        </w:tblPrEx>
        <w:tc>
          <w:tcPr>
            <w:tcW w:w="1985" w:type="dxa"/>
            <w:tcBorders>
              <w:top w:val="single" w:sz="4" w:space="0" w:color="auto"/>
              <w:left w:val="single" w:sz="4" w:space="0" w:color="auto"/>
              <w:bottom w:val="single" w:sz="4" w:space="0" w:color="auto"/>
              <w:right w:val="single" w:sz="4" w:space="0" w:color="auto"/>
            </w:tcBorders>
          </w:tcPr>
          <w:p w14:paraId="0483F402" w14:textId="1CCEF11E" w:rsidR="00CF5E15" w:rsidRPr="00DF6D04" w:rsidRDefault="00CF5E15" w:rsidP="00CF5E15">
            <w:pPr>
              <w:pStyle w:val="Body"/>
              <w:rPr>
                <w:szCs w:val="22"/>
              </w:rPr>
            </w:pPr>
            <w:r w:rsidRPr="00DF6D04">
              <w:rPr>
                <w:szCs w:val="22"/>
              </w:rPr>
              <w:t>Interpersonal Skills / Communication</w:t>
            </w:r>
          </w:p>
        </w:tc>
        <w:tc>
          <w:tcPr>
            <w:tcW w:w="7920" w:type="dxa"/>
            <w:tcBorders>
              <w:top w:val="single" w:sz="4" w:space="0" w:color="auto"/>
              <w:left w:val="single" w:sz="4" w:space="0" w:color="auto"/>
              <w:bottom w:val="single" w:sz="4" w:space="0" w:color="auto"/>
              <w:right w:val="single" w:sz="4" w:space="0" w:color="auto"/>
            </w:tcBorders>
          </w:tcPr>
          <w:p w14:paraId="5CE0DF26" w14:textId="77777777" w:rsidR="00CF5E15" w:rsidRPr="00B5131E" w:rsidRDefault="00CF5E15" w:rsidP="00CF5E15">
            <w:pPr>
              <w:ind w:right="181"/>
              <w:textAlignment w:val="baseline"/>
              <w:rPr>
                <w:rFonts w:cs="Segoe UI"/>
                <w:szCs w:val="22"/>
                <w:lang w:eastAsia="en-NZ"/>
              </w:rPr>
            </w:pPr>
            <w:r w:rsidRPr="00B5131E">
              <w:rPr>
                <w:rFonts w:cs="Segoe UI"/>
                <w:szCs w:val="22"/>
                <w:lang w:eastAsia="en-NZ"/>
              </w:rPr>
              <w:t xml:space="preserve">Able to communicate clearly and sensitively with a very wide range of internal and external audiences </w:t>
            </w:r>
          </w:p>
          <w:p w14:paraId="5ED718B5" w14:textId="39DD9B88" w:rsidR="00CF5E15" w:rsidRPr="00B5131E" w:rsidRDefault="00CF5E15" w:rsidP="00CF5E15">
            <w:pPr>
              <w:pStyle w:val="Body"/>
              <w:rPr>
                <w:noProof/>
                <w:szCs w:val="22"/>
              </w:rPr>
            </w:pPr>
            <w:r w:rsidRPr="00B5131E">
              <w:rPr>
                <w:rFonts w:cs="Segoe UI"/>
                <w:szCs w:val="22"/>
                <w:lang w:eastAsia="en-NZ"/>
              </w:rPr>
              <w:t>Gains active participation and/or support for initiatives, from senior leaders, staff, and other relevant senior stakeholders</w:t>
            </w:r>
          </w:p>
        </w:tc>
      </w:tr>
    </w:tbl>
    <w:p w14:paraId="538FB30D" w14:textId="0990798B" w:rsidR="009D1AB4" w:rsidRPr="006674E8" w:rsidRDefault="009D1AB4" w:rsidP="0055040F">
      <w:pPr>
        <w:pStyle w:val="Body"/>
        <w:jc w:val="both"/>
      </w:pPr>
      <w:r w:rsidRPr="001A4296">
        <w:t xml:space="preserve">You are required to comply with the standard operating </w:t>
      </w:r>
      <w:r>
        <w:t>requirements</w:t>
      </w:r>
      <w:r w:rsidRPr="001A4296">
        <w:t xml:space="preserve"> of DOC</w:t>
      </w:r>
      <w:r>
        <w:t>, i.e.,</w:t>
      </w:r>
      <w:r w:rsidRPr="001A4296">
        <w:t xml:space="preserve"> you must comply with the financial, </w:t>
      </w:r>
      <w:r>
        <w:t xml:space="preserve">health and safety, </w:t>
      </w:r>
      <w:r w:rsidRPr="001A4296">
        <w:t>legal</w:t>
      </w:r>
      <w:r>
        <w:t>, people</w:t>
      </w:r>
      <w:r w:rsidRPr="001A4296">
        <w:t xml:space="preserve"> and other delegations set out in Standard Operating Procedures, policies, and instructions (refer to the Intranet for further information).</w:t>
      </w:r>
    </w:p>
    <w:sectPr w:rsidR="009D1AB4" w:rsidRPr="006674E8" w:rsidSect="009D1AB4">
      <w:headerReference w:type="default" r:id="rId11"/>
      <w:footerReference w:type="default" r:id="rId12"/>
      <w:headerReference w:type="first" r:id="rId13"/>
      <w:footerReference w:type="first" r:id="rId14"/>
      <w:type w:val="continuous"/>
      <w:pgSz w:w="11906" w:h="16838" w:code="9"/>
      <w:pgMar w:top="851" w:right="991" w:bottom="709" w:left="1418" w:header="426" w:footer="15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C449D" w14:textId="77777777" w:rsidR="002C3086" w:rsidRDefault="002C3086">
      <w:r>
        <w:separator/>
      </w:r>
    </w:p>
  </w:endnote>
  <w:endnote w:type="continuationSeparator" w:id="0">
    <w:p w14:paraId="251DD7CA" w14:textId="77777777" w:rsidR="002C3086" w:rsidRDefault="002C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er Book">
    <w:panose1 w:val="02000000000000000000"/>
    <w:charset w:val="00"/>
    <w:family w:val="modern"/>
    <w:notTrueType/>
    <w:pitch w:val="variable"/>
    <w:sig w:usb0="A00000FF" w:usb1="4000005B" w:usb2="00000000" w:usb3="00000000" w:csb0="0000008B" w:csb1="00000000"/>
  </w:font>
  <w:font w:name="Archer Bold">
    <w:panose1 w:val="00000000000000000000"/>
    <w:charset w:val="00"/>
    <w:family w:val="modern"/>
    <w:notTrueType/>
    <w:pitch w:val="variable"/>
    <w:sig w:usb0="A00000FF" w:usb1="4000005B" w:usb2="00000000" w:usb3="00000000" w:csb0="0000008B" w:csb1="00000000"/>
  </w:font>
  <w:font w:name="Arial">
    <w:panose1 w:val="020B0604020202020204"/>
    <w:charset w:val="00"/>
    <w:family w:val="swiss"/>
    <w:pitch w:val="variable"/>
    <w:sig w:usb0="E0002EFF" w:usb1="C000785B" w:usb2="00000009" w:usb3="00000000" w:csb0="000001FF" w:csb1="00000000"/>
  </w:font>
  <w:font w:name="Archer Semibold">
    <w:panose1 w:val="00000000000000000000"/>
    <w:charset w:val="00"/>
    <w:family w:val="modern"/>
    <w:notTrueType/>
    <w:pitch w:val="variable"/>
    <w:sig w:usb0="A00000FF" w:usb1="4000005B" w:usb2="00000000" w:usb3="00000000" w:csb0="0000008B"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DE003" w14:textId="1E1BECED" w:rsidR="004434CD" w:rsidRDefault="004434CD">
    <w:pPr>
      <w:pStyle w:val="Footer"/>
    </w:pPr>
    <w:r>
      <w:tab/>
    </w:r>
    <w:r>
      <w:tab/>
    </w:r>
    <w:r w:rsidRPr="004434CD">
      <w:t>DOC-7152214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04236" w14:textId="77777777" w:rsidR="00D67FD5" w:rsidRPr="00D67FD5" w:rsidRDefault="008A598E" w:rsidP="00D67FD5">
    <w:pPr>
      <w:pStyle w:val="Footer"/>
    </w:pPr>
    <w:r>
      <w:rPr>
        <w:noProof/>
      </w:rPr>
      <w:drawing>
        <wp:anchor distT="0" distB="0" distL="114300" distR="114300" simplePos="0" relativeHeight="251659264" behindDoc="1" locked="0" layoutInCell="1" allowOverlap="1" wp14:anchorId="3B65F6CE" wp14:editId="51BA0691">
          <wp:simplePos x="0" y="0"/>
          <wp:positionH relativeFrom="column">
            <wp:posOffset>-890905</wp:posOffset>
          </wp:positionH>
          <wp:positionV relativeFrom="paragraph">
            <wp:posOffset>266065</wp:posOffset>
          </wp:positionV>
          <wp:extent cx="7530603" cy="819150"/>
          <wp:effectExtent l="0" t="0" r="0" b="0"/>
          <wp:wrapNone/>
          <wp:docPr id="18" name="Picture 18" descr="S:\Publishing\1. Jobs\4. For Design\R138332 Sarah Wood - Brand refresh 2018\Word Templates\A4 Generic Header x4\Jpeg\A4 Generic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shing\1. Jobs\4. For Design\R138332 Sarah Wood - Brand refresh 2018\Word Templates\A4 Generic Header x4\Jpeg\A4 Generic head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t="89582" b="2730"/>
                  <a:stretch/>
                </pic:blipFill>
                <pic:spPr bwMode="auto">
                  <a:xfrm>
                    <a:off x="0" y="0"/>
                    <a:ext cx="7533005" cy="8194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7FD5">
      <w:rPr>
        <w:noProof/>
      </w:rPr>
      <mc:AlternateContent>
        <mc:Choice Requires="wps">
          <w:drawing>
            <wp:anchor distT="45720" distB="45720" distL="114300" distR="114300" simplePos="0" relativeHeight="251660288" behindDoc="0" locked="0" layoutInCell="1" allowOverlap="1" wp14:anchorId="689AB853" wp14:editId="129E2537">
              <wp:simplePos x="0" y="0"/>
              <wp:positionH relativeFrom="column">
                <wp:posOffset>3775520</wp:posOffset>
              </wp:positionH>
              <wp:positionV relativeFrom="paragraph">
                <wp:posOffset>335915</wp:posOffset>
              </wp:positionV>
              <wp:extent cx="236093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8067962" w14:textId="194C5F5D" w:rsidR="00D67FD5" w:rsidRDefault="004434CD" w:rsidP="00D67FD5">
                          <w:pPr>
                            <w:jc w:val="right"/>
                          </w:pPr>
                          <w:r w:rsidRPr="004434CD">
                            <w:rPr>
                              <w:color w:val="434D58"/>
                            </w:rPr>
                            <w:t>DOC-7152214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9AB853" id="_x0000_t202" coordsize="21600,21600" o:spt="202" path="m,l,21600r21600,l21600,xe">
              <v:stroke joinstyle="miter"/>
              <v:path gradientshapeok="t" o:connecttype="rect"/>
            </v:shapetype>
            <v:shape id="Text Box 2" o:spid="_x0000_s1026" type="#_x0000_t202" style="position:absolute;margin-left:297.3pt;margin-top:26.4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" filled="f" stroked="f">
              <v:textbox style="mso-fit-shape-to-text:t">
                <w:txbxContent>
                  <w:p w14:paraId="58067962" w14:textId="194C5F5D" w:rsidR="00D67FD5" w:rsidRDefault="004434CD" w:rsidP="00D67FD5">
                    <w:pPr>
                      <w:jc w:val="right"/>
                    </w:pPr>
                    <w:r w:rsidRPr="004434CD">
                      <w:rPr>
                        <w:color w:val="434D58"/>
                      </w:rPr>
                      <w:t>DOC-7152214</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C9256" w14:textId="77777777" w:rsidR="002C3086" w:rsidRDefault="002C3086">
      <w:r>
        <w:separator/>
      </w:r>
    </w:p>
  </w:footnote>
  <w:footnote w:type="continuationSeparator" w:id="0">
    <w:p w14:paraId="1963EF6C" w14:textId="77777777" w:rsidR="002C3086" w:rsidRDefault="002C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75293" w14:textId="77777777" w:rsidR="0023110F" w:rsidRDefault="0023110F" w:rsidP="00D76BF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D5204" w14:textId="08B732BC" w:rsidR="0023110F" w:rsidRDefault="004434CD" w:rsidP="004434CD">
    <w:pPr>
      <w:pStyle w:val="Header"/>
    </w:pPr>
    <w:r>
      <w:rPr>
        <w:noProof/>
      </w:rPr>
      <w:drawing>
        <wp:inline distT="0" distB="0" distL="0" distR="0" wp14:anchorId="6A418E34" wp14:editId="3A8B2FD8">
          <wp:extent cx="1542415" cy="572770"/>
          <wp:effectExtent l="0" t="0" r="635" b="0"/>
          <wp:docPr id="1608783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4C063F20"/>
    <w:multiLevelType w:val="hybridMultilevel"/>
    <w:tmpl w:val="A6A8068A"/>
    <w:lvl w:ilvl="0" w:tplc="56B6FA44">
      <w:start w:val="1"/>
      <w:numFmt w:val="bullet"/>
      <w:pStyle w:val="Boxed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E55268"/>
    <w:multiLevelType w:val="hybridMultilevel"/>
    <w:tmpl w:val="71042C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1">
    <w:nsid w:val="685540DE"/>
    <w:multiLevelType w:val="hybridMultilevel"/>
    <w:tmpl w:val="9E301A42"/>
    <w:lvl w:ilvl="0" w:tplc="1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32839448">
    <w:abstractNumId w:val="0"/>
  </w:num>
  <w:num w:numId="2" w16cid:durableId="1148664810">
    <w:abstractNumId w:val="2"/>
  </w:num>
  <w:num w:numId="3" w16cid:durableId="4800047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E8"/>
    <w:rsid w:val="000015E8"/>
    <w:rsid w:val="00002B9C"/>
    <w:rsid w:val="00002D62"/>
    <w:rsid w:val="000044FB"/>
    <w:rsid w:val="000045B6"/>
    <w:rsid w:val="00007703"/>
    <w:rsid w:val="0001587A"/>
    <w:rsid w:val="00021335"/>
    <w:rsid w:val="00022CFC"/>
    <w:rsid w:val="000404DC"/>
    <w:rsid w:val="00044D3A"/>
    <w:rsid w:val="00057F7B"/>
    <w:rsid w:val="00060038"/>
    <w:rsid w:val="000707C7"/>
    <w:rsid w:val="00075553"/>
    <w:rsid w:val="00084C45"/>
    <w:rsid w:val="00085F13"/>
    <w:rsid w:val="0009346F"/>
    <w:rsid w:val="00097408"/>
    <w:rsid w:val="000A1398"/>
    <w:rsid w:val="000A7ECD"/>
    <w:rsid w:val="000B492E"/>
    <w:rsid w:val="000B5B77"/>
    <w:rsid w:val="000B7929"/>
    <w:rsid w:val="000C38E4"/>
    <w:rsid w:val="000D05E0"/>
    <w:rsid w:val="000D1E11"/>
    <w:rsid w:val="000D43F3"/>
    <w:rsid w:val="000D45B4"/>
    <w:rsid w:val="000D659A"/>
    <w:rsid w:val="000D6CAB"/>
    <w:rsid w:val="000E589A"/>
    <w:rsid w:val="000F08D9"/>
    <w:rsid w:val="001013CA"/>
    <w:rsid w:val="0010245B"/>
    <w:rsid w:val="00103EFB"/>
    <w:rsid w:val="0010781C"/>
    <w:rsid w:val="00112C5E"/>
    <w:rsid w:val="00113936"/>
    <w:rsid w:val="00113ADA"/>
    <w:rsid w:val="00113ECA"/>
    <w:rsid w:val="001150E8"/>
    <w:rsid w:val="001200A1"/>
    <w:rsid w:val="0013124C"/>
    <w:rsid w:val="0013515C"/>
    <w:rsid w:val="00136A55"/>
    <w:rsid w:val="001375F0"/>
    <w:rsid w:val="00145225"/>
    <w:rsid w:val="00150FEC"/>
    <w:rsid w:val="0017606D"/>
    <w:rsid w:val="00176E5A"/>
    <w:rsid w:val="00177E61"/>
    <w:rsid w:val="00185E0B"/>
    <w:rsid w:val="00186FAD"/>
    <w:rsid w:val="00193496"/>
    <w:rsid w:val="00195CD4"/>
    <w:rsid w:val="001A1968"/>
    <w:rsid w:val="001A4296"/>
    <w:rsid w:val="001A4490"/>
    <w:rsid w:val="001A4839"/>
    <w:rsid w:val="001A6EC8"/>
    <w:rsid w:val="001B0932"/>
    <w:rsid w:val="001B5FE4"/>
    <w:rsid w:val="001C22FC"/>
    <w:rsid w:val="001C4612"/>
    <w:rsid w:val="001D2842"/>
    <w:rsid w:val="001E419B"/>
    <w:rsid w:val="001F093D"/>
    <w:rsid w:val="001F33CD"/>
    <w:rsid w:val="001F452E"/>
    <w:rsid w:val="001F4FDA"/>
    <w:rsid w:val="001F57C0"/>
    <w:rsid w:val="001F5B3F"/>
    <w:rsid w:val="00201E48"/>
    <w:rsid w:val="0020246E"/>
    <w:rsid w:val="00202F67"/>
    <w:rsid w:val="00204A53"/>
    <w:rsid w:val="002119C4"/>
    <w:rsid w:val="00214C28"/>
    <w:rsid w:val="002165F0"/>
    <w:rsid w:val="00217D83"/>
    <w:rsid w:val="00222DD0"/>
    <w:rsid w:val="00225BD4"/>
    <w:rsid w:val="0023110F"/>
    <w:rsid w:val="00231922"/>
    <w:rsid w:val="00240701"/>
    <w:rsid w:val="002413C7"/>
    <w:rsid w:val="0024178A"/>
    <w:rsid w:val="00242A01"/>
    <w:rsid w:val="00243693"/>
    <w:rsid w:val="00246D91"/>
    <w:rsid w:val="00252C97"/>
    <w:rsid w:val="00252F42"/>
    <w:rsid w:val="00264FD5"/>
    <w:rsid w:val="00267B27"/>
    <w:rsid w:val="0027206A"/>
    <w:rsid w:val="00273D58"/>
    <w:rsid w:val="002767BD"/>
    <w:rsid w:val="00277E19"/>
    <w:rsid w:val="00281467"/>
    <w:rsid w:val="00282D41"/>
    <w:rsid w:val="002848CC"/>
    <w:rsid w:val="00296257"/>
    <w:rsid w:val="002976F1"/>
    <w:rsid w:val="002977D1"/>
    <w:rsid w:val="00297B11"/>
    <w:rsid w:val="002B0874"/>
    <w:rsid w:val="002B3C51"/>
    <w:rsid w:val="002B5644"/>
    <w:rsid w:val="002B5CDB"/>
    <w:rsid w:val="002C3086"/>
    <w:rsid w:val="002C3D32"/>
    <w:rsid w:val="002D03D7"/>
    <w:rsid w:val="002D4E8D"/>
    <w:rsid w:val="002D502A"/>
    <w:rsid w:val="002D753D"/>
    <w:rsid w:val="002D7789"/>
    <w:rsid w:val="002E6E18"/>
    <w:rsid w:val="002F2D51"/>
    <w:rsid w:val="002F332B"/>
    <w:rsid w:val="0030197F"/>
    <w:rsid w:val="00312DB3"/>
    <w:rsid w:val="00312E7A"/>
    <w:rsid w:val="00314F24"/>
    <w:rsid w:val="00325404"/>
    <w:rsid w:val="00330E7B"/>
    <w:rsid w:val="00331156"/>
    <w:rsid w:val="003315F1"/>
    <w:rsid w:val="003321FC"/>
    <w:rsid w:val="00335F82"/>
    <w:rsid w:val="00337EBE"/>
    <w:rsid w:val="00341511"/>
    <w:rsid w:val="003453F8"/>
    <w:rsid w:val="00351C78"/>
    <w:rsid w:val="0035207E"/>
    <w:rsid w:val="0035722A"/>
    <w:rsid w:val="003630C2"/>
    <w:rsid w:val="00372084"/>
    <w:rsid w:val="00374369"/>
    <w:rsid w:val="00382A5E"/>
    <w:rsid w:val="00385E07"/>
    <w:rsid w:val="00386374"/>
    <w:rsid w:val="003978A2"/>
    <w:rsid w:val="003A0DF2"/>
    <w:rsid w:val="003A1EA7"/>
    <w:rsid w:val="003A432E"/>
    <w:rsid w:val="003B065B"/>
    <w:rsid w:val="003B41F7"/>
    <w:rsid w:val="003B4AD6"/>
    <w:rsid w:val="003B4E9E"/>
    <w:rsid w:val="003C3392"/>
    <w:rsid w:val="003C640D"/>
    <w:rsid w:val="003C7E9B"/>
    <w:rsid w:val="003D121D"/>
    <w:rsid w:val="003D39F0"/>
    <w:rsid w:val="003D4E9C"/>
    <w:rsid w:val="003E72F6"/>
    <w:rsid w:val="003E7482"/>
    <w:rsid w:val="003F05C3"/>
    <w:rsid w:val="003F174A"/>
    <w:rsid w:val="003F6DBF"/>
    <w:rsid w:val="003F704E"/>
    <w:rsid w:val="004018AE"/>
    <w:rsid w:val="00403DCB"/>
    <w:rsid w:val="004048CC"/>
    <w:rsid w:val="00407387"/>
    <w:rsid w:val="00412902"/>
    <w:rsid w:val="00412ADF"/>
    <w:rsid w:val="00414872"/>
    <w:rsid w:val="004150C9"/>
    <w:rsid w:val="0042094E"/>
    <w:rsid w:val="00421190"/>
    <w:rsid w:val="00422329"/>
    <w:rsid w:val="0042716F"/>
    <w:rsid w:val="00432C26"/>
    <w:rsid w:val="0043301F"/>
    <w:rsid w:val="00434468"/>
    <w:rsid w:val="004434CD"/>
    <w:rsid w:val="00444523"/>
    <w:rsid w:val="00445D01"/>
    <w:rsid w:val="004471E7"/>
    <w:rsid w:val="00447A24"/>
    <w:rsid w:val="00450EED"/>
    <w:rsid w:val="00457B5F"/>
    <w:rsid w:val="00462948"/>
    <w:rsid w:val="0046298D"/>
    <w:rsid w:val="00467C36"/>
    <w:rsid w:val="00470540"/>
    <w:rsid w:val="00470691"/>
    <w:rsid w:val="00472578"/>
    <w:rsid w:val="004916A9"/>
    <w:rsid w:val="004A34B3"/>
    <w:rsid w:val="004A3CDB"/>
    <w:rsid w:val="004A5C18"/>
    <w:rsid w:val="004A7C57"/>
    <w:rsid w:val="004B2A9B"/>
    <w:rsid w:val="004B3B9A"/>
    <w:rsid w:val="004B4268"/>
    <w:rsid w:val="004B5D2F"/>
    <w:rsid w:val="004B5E42"/>
    <w:rsid w:val="004B7BE2"/>
    <w:rsid w:val="004C1DE4"/>
    <w:rsid w:val="004C7BE5"/>
    <w:rsid w:val="004D0512"/>
    <w:rsid w:val="004D2468"/>
    <w:rsid w:val="004D3701"/>
    <w:rsid w:val="004D67BB"/>
    <w:rsid w:val="004E0A66"/>
    <w:rsid w:val="004E1EDB"/>
    <w:rsid w:val="004E3CCB"/>
    <w:rsid w:val="004F0BB0"/>
    <w:rsid w:val="004F4CFB"/>
    <w:rsid w:val="0050061C"/>
    <w:rsid w:val="0050333D"/>
    <w:rsid w:val="00505C5C"/>
    <w:rsid w:val="0051749A"/>
    <w:rsid w:val="0052301B"/>
    <w:rsid w:val="00525447"/>
    <w:rsid w:val="00531817"/>
    <w:rsid w:val="00532E97"/>
    <w:rsid w:val="005354BF"/>
    <w:rsid w:val="005402E2"/>
    <w:rsid w:val="00540CB6"/>
    <w:rsid w:val="005466CC"/>
    <w:rsid w:val="00546A13"/>
    <w:rsid w:val="0055040F"/>
    <w:rsid w:val="00551B71"/>
    <w:rsid w:val="00553084"/>
    <w:rsid w:val="0055780E"/>
    <w:rsid w:val="00572ADE"/>
    <w:rsid w:val="00573D9B"/>
    <w:rsid w:val="005840FD"/>
    <w:rsid w:val="00590AF2"/>
    <w:rsid w:val="00592EF0"/>
    <w:rsid w:val="0059455B"/>
    <w:rsid w:val="005A0ECE"/>
    <w:rsid w:val="005A4298"/>
    <w:rsid w:val="005A4E70"/>
    <w:rsid w:val="005A6904"/>
    <w:rsid w:val="005A733B"/>
    <w:rsid w:val="005B4228"/>
    <w:rsid w:val="005B4EB0"/>
    <w:rsid w:val="005B6697"/>
    <w:rsid w:val="005C0D19"/>
    <w:rsid w:val="005C2138"/>
    <w:rsid w:val="005C3ADD"/>
    <w:rsid w:val="005D6AA7"/>
    <w:rsid w:val="005D7B93"/>
    <w:rsid w:val="005E37A3"/>
    <w:rsid w:val="005E3A36"/>
    <w:rsid w:val="005F0367"/>
    <w:rsid w:val="005F2C4C"/>
    <w:rsid w:val="005F3987"/>
    <w:rsid w:val="005F5C28"/>
    <w:rsid w:val="00600D09"/>
    <w:rsid w:val="00606CC0"/>
    <w:rsid w:val="00611FC8"/>
    <w:rsid w:val="00613E2D"/>
    <w:rsid w:val="0061469C"/>
    <w:rsid w:val="00616B95"/>
    <w:rsid w:val="00617E18"/>
    <w:rsid w:val="00620A1F"/>
    <w:rsid w:val="0062273C"/>
    <w:rsid w:val="00632573"/>
    <w:rsid w:val="006370F8"/>
    <w:rsid w:val="00654395"/>
    <w:rsid w:val="00655ABA"/>
    <w:rsid w:val="0065609E"/>
    <w:rsid w:val="00661086"/>
    <w:rsid w:val="006634AF"/>
    <w:rsid w:val="006643B7"/>
    <w:rsid w:val="00666C00"/>
    <w:rsid w:val="006674E8"/>
    <w:rsid w:val="006678F6"/>
    <w:rsid w:val="00672250"/>
    <w:rsid w:val="006740BE"/>
    <w:rsid w:val="00674307"/>
    <w:rsid w:val="00674EBD"/>
    <w:rsid w:val="00685070"/>
    <w:rsid w:val="006862C7"/>
    <w:rsid w:val="006905F9"/>
    <w:rsid w:val="00692115"/>
    <w:rsid w:val="006945C6"/>
    <w:rsid w:val="006968E9"/>
    <w:rsid w:val="006B2DDF"/>
    <w:rsid w:val="006C7365"/>
    <w:rsid w:val="006D4B73"/>
    <w:rsid w:val="006D6056"/>
    <w:rsid w:val="006D75B2"/>
    <w:rsid w:val="006E0934"/>
    <w:rsid w:val="006E262D"/>
    <w:rsid w:val="006E4DFF"/>
    <w:rsid w:val="006F447F"/>
    <w:rsid w:val="006F7D6D"/>
    <w:rsid w:val="0070056C"/>
    <w:rsid w:val="00702EB7"/>
    <w:rsid w:val="00706BDD"/>
    <w:rsid w:val="0070796A"/>
    <w:rsid w:val="00707C4D"/>
    <w:rsid w:val="007144AF"/>
    <w:rsid w:val="00714964"/>
    <w:rsid w:val="0072190B"/>
    <w:rsid w:val="007246DB"/>
    <w:rsid w:val="00726617"/>
    <w:rsid w:val="00731E3A"/>
    <w:rsid w:val="00733529"/>
    <w:rsid w:val="00734734"/>
    <w:rsid w:val="00736D87"/>
    <w:rsid w:val="0073780E"/>
    <w:rsid w:val="00737D73"/>
    <w:rsid w:val="00741124"/>
    <w:rsid w:val="00741227"/>
    <w:rsid w:val="00746D22"/>
    <w:rsid w:val="00750EEB"/>
    <w:rsid w:val="00756734"/>
    <w:rsid w:val="00763948"/>
    <w:rsid w:val="0076442E"/>
    <w:rsid w:val="0077196A"/>
    <w:rsid w:val="00771E0A"/>
    <w:rsid w:val="00774C85"/>
    <w:rsid w:val="00775D2F"/>
    <w:rsid w:val="00782080"/>
    <w:rsid w:val="007829CA"/>
    <w:rsid w:val="00783B74"/>
    <w:rsid w:val="007902C1"/>
    <w:rsid w:val="00795FB3"/>
    <w:rsid w:val="007A03B4"/>
    <w:rsid w:val="007A26E9"/>
    <w:rsid w:val="007B4C25"/>
    <w:rsid w:val="007C2015"/>
    <w:rsid w:val="007D0F7E"/>
    <w:rsid w:val="007D1BE5"/>
    <w:rsid w:val="007E7F38"/>
    <w:rsid w:val="007F1392"/>
    <w:rsid w:val="007F3C48"/>
    <w:rsid w:val="007F59CE"/>
    <w:rsid w:val="007F6EAE"/>
    <w:rsid w:val="007F71A7"/>
    <w:rsid w:val="007F722B"/>
    <w:rsid w:val="0080034E"/>
    <w:rsid w:val="0080243F"/>
    <w:rsid w:val="00804E7B"/>
    <w:rsid w:val="00805DCF"/>
    <w:rsid w:val="00810A23"/>
    <w:rsid w:val="00815DC5"/>
    <w:rsid w:val="00816EAE"/>
    <w:rsid w:val="00820AA4"/>
    <w:rsid w:val="00824662"/>
    <w:rsid w:val="00826A28"/>
    <w:rsid w:val="00827175"/>
    <w:rsid w:val="00835406"/>
    <w:rsid w:val="008362FB"/>
    <w:rsid w:val="0084247D"/>
    <w:rsid w:val="00844157"/>
    <w:rsid w:val="00845A1F"/>
    <w:rsid w:val="00850F88"/>
    <w:rsid w:val="00853F81"/>
    <w:rsid w:val="00865631"/>
    <w:rsid w:val="008808ED"/>
    <w:rsid w:val="00881690"/>
    <w:rsid w:val="00885405"/>
    <w:rsid w:val="00891C4D"/>
    <w:rsid w:val="00891C93"/>
    <w:rsid w:val="00892F75"/>
    <w:rsid w:val="00896633"/>
    <w:rsid w:val="008A0310"/>
    <w:rsid w:val="008A0910"/>
    <w:rsid w:val="008A2EB9"/>
    <w:rsid w:val="008A598E"/>
    <w:rsid w:val="008A70A8"/>
    <w:rsid w:val="008A7DC0"/>
    <w:rsid w:val="008B6D06"/>
    <w:rsid w:val="008B7A2E"/>
    <w:rsid w:val="008B7A80"/>
    <w:rsid w:val="008D034F"/>
    <w:rsid w:val="008D59E6"/>
    <w:rsid w:val="008E3168"/>
    <w:rsid w:val="008F2E90"/>
    <w:rsid w:val="009017A1"/>
    <w:rsid w:val="0090492C"/>
    <w:rsid w:val="00905A83"/>
    <w:rsid w:val="00913256"/>
    <w:rsid w:val="009132E9"/>
    <w:rsid w:val="00913339"/>
    <w:rsid w:val="009154A7"/>
    <w:rsid w:val="00916127"/>
    <w:rsid w:val="00922A7C"/>
    <w:rsid w:val="00922BF0"/>
    <w:rsid w:val="009246A8"/>
    <w:rsid w:val="00934D95"/>
    <w:rsid w:val="009351AD"/>
    <w:rsid w:val="00936729"/>
    <w:rsid w:val="00937BB7"/>
    <w:rsid w:val="00944117"/>
    <w:rsid w:val="00945E6D"/>
    <w:rsid w:val="009518B8"/>
    <w:rsid w:val="009558B3"/>
    <w:rsid w:val="009566E7"/>
    <w:rsid w:val="009568CB"/>
    <w:rsid w:val="0095695B"/>
    <w:rsid w:val="009576B1"/>
    <w:rsid w:val="00963F58"/>
    <w:rsid w:val="00964AA6"/>
    <w:rsid w:val="00967694"/>
    <w:rsid w:val="00967855"/>
    <w:rsid w:val="0097017E"/>
    <w:rsid w:val="0097164A"/>
    <w:rsid w:val="00973798"/>
    <w:rsid w:val="00973971"/>
    <w:rsid w:val="00977DEB"/>
    <w:rsid w:val="00990C66"/>
    <w:rsid w:val="00993274"/>
    <w:rsid w:val="00997989"/>
    <w:rsid w:val="009A22B4"/>
    <w:rsid w:val="009A34F3"/>
    <w:rsid w:val="009A3BC8"/>
    <w:rsid w:val="009A4467"/>
    <w:rsid w:val="009A4CEC"/>
    <w:rsid w:val="009A78D3"/>
    <w:rsid w:val="009B3553"/>
    <w:rsid w:val="009B7B23"/>
    <w:rsid w:val="009C3B63"/>
    <w:rsid w:val="009C5E11"/>
    <w:rsid w:val="009D1AB4"/>
    <w:rsid w:val="009D3345"/>
    <w:rsid w:val="009E536F"/>
    <w:rsid w:val="009E6F29"/>
    <w:rsid w:val="009E6FB8"/>
    <w:rsid w:val="009F2707"/>
    <w:rsid w:val="009F3A01"/>
    <w:rsid w:val="00A00109"/>
    <w:rsid w:val="00A0305E"/>
    <w:rsid w:val="00A10AA3"/>
    <w:rsid w:val="00A11B67"/>
    <w:rsid w:val="00A12452"/>
    <w:rsid w:val="00A145B5"/>
    <w:rsid w:val="00A14C3B"/>
    <w:rsid w:val="00A15DA6"/>
    <w:rsid w:val="00A22A56"/>
    <w:rsid w:val="00A27C3F"/>
    <w:rsid w:val="00A31FD0"/>
    <w:rsid w:val="00A32785"/>
    <w:rsid w:val="00A34187"/>
    <w:rsid w:val="00A34DBF"/>
    <w:rsid w:val="00A45840"/>
    <w:rsid w:val="00A522D9"/>
    <w:rsid w:val="00A54DFD"/>
    <w:rsid w:val="00A63FA5"/>
    <w:rsid w:val="00A71E74"/>
    <w:rsid w:val="00A76148"/>
    <w:rsid w:val="00A76627"/>
    <w:rsid w:val="00A76635"/>
    <w:rsid w:val="00A85545"/>
    <w:rsid w:val="00A86A46"/>
    <w:rsid w:val="00A877E8"/>
    <w:rsid w:val="00A9020E"/>
    <w:rsid w:val="00A95DD8"/>
    <w:rsid w:val="00AB7644"/>
    <w:rsid w:val="00AC0B63"/>
    <w:rsid w:val="00AC0D98"/>
    <w:rsid w:val="00AC5CA4"/>
    <w:rsid w:val="00AE001B"/>
    <w:rsid w:val="00AE0D58"/>
    <w:rsid w:val="00AE2644"/>
    <w:rsid w:val="00AE5DE0"/>
    <w:rsid w:val="00B003B7"/>
    <w:rsid w:val="00B05841"/>
    <w:rsid w:val="00B1089B"/>
    <w:rsid w:val="00B13B87"/>
    <w:rsid w:val="00B14F08"/>
    <w:rsid w:val="00B158AB"/>
    <w:rsid w:val="00B16E0F"/>
    <w:rsid w:val="00B30F0B"/>
    <w:rsid w:val="00B315E2"/>
    <w:rsid w:val="00B336DF"/>
    <w:rsid w:val="00B36D4E"/>
    <w:rsid w:val="00B408C2"/>
    <w:rsid w:val="00B40C84"/>
    <w:rsid w:val="00B43121"/>
    <w:rsid w:val="00B5131E"/>
    <w:rsid w:val="00B51C8B"/>
    <w:rsid w:val="00B525B9"/>
    <w:rsid w:val="00B54CF6"/>
    <w:rsid w:val="00B568A7"/>
    <w:rsid w:val="00B57223"/>
    <w:rsid w:val="00B6345A"/>
    <w:rsid w:val="00B66FEB"/>
    <w:rsid w:val="00B71172"/>
    <w:rsid w:val="00B71353"/>
    <w:rsid w:val="00B765BB"/>
    <w:rsid w:val="00B772BD"/>
    <w:rsid w:val="00B82D40"/>
    <w:rsid w:val="00B87EEE"/>
    <w:rsid w:val="00B9275B"/>
    <w:rsid w:val="00B944A9"/>
    <w:rsid w:val="00B95519"/>
    <w:rsid w:val="00BA50AA"/>
    <w:rsid w:val="00BB0580"/>
    <w:rsid w:val="00BB22F2"/>
    <w:rsid w:val="00BB2917"/>
    <w:rsid w:val="00BB2BDB"/>
    <w:rsid w:val="00BB7F3F"/>
    <w:rsid w:val="00BC0C8C"/>
    <w:rsid w:val="00BC1E37"/>
    <w:rsid w:val="00BC5581"/>
    <w:rsid w:val="00BC7B5F"/>
    <w:rsid w:val="00BD1058"/>
    <w:rsid w:val="00BD1215"/>
    <w:rsid w:val="00BD1742"/>
    <w:rsid w:val="00BD2143"/>
    <w:rsid w:val="00BD407E"/>
    <w:rsid w:val="00BD4A98"/>
    <w:rsid w:val="00BD6D02"/>
    <w:rsid w:val="00BE5166"/>
    <w:rsid w:val="00BE67C5"/>
    <w:rsid w:val="00BF0960"/>
    <w:rsid w:val="00BF3F72"/>
    <w:rsid w:val="00BF5621"/>
    <w:rsid w:val="00BF6698"/>
    <w:rsid w:val="00BF69E5"/>
    <w:rsid w:val="00BF7A37"/>
    <w:rsid w:val="00C00358"/>
    <w:rsid w:val="00C01A8C"/>
    <w:rsid w:val="00C15304"/>
    <w:rsid w:val="00C155A3"/>
    <w:rsid w:val="00C15869"/>
    <w:rsid w:val="00C2429E"/>
    <w:rsid w:val="00C2728E"/>
    <w:rsid w:val="00C3607D"/>
    <w:rsid w:val="00C4137F"/>
    <w:rsid w:val="00C64AC2"/>
    <w:rsid w:val="00C65762"/>
    <w:rsid w:val="00C6684A"/>
    <w:rsid w:val="00C66D76"/>
    <w:rsid w:val="00C66FC2"/>
    <w:rsid w:val="00C755CD"/>
    <w:rsid w:val="00C75E9C"/>
    <w:rsid w:val="00C773CA"/>
    <w:rsid w:val="00C82A40"/>
    <w:rsid w:val="00C838CA"/>
    <w:rsid w:val="00C83AC6"/>
    <w:rsid w:val="00C84DC7"/>
    <w:rsid w:val="00C8765B"/>
    <w:rsid w:val="00C910A9"/>
    <w:rsid w:val="00CA45BC"/>
    <w:rsid w:val="00CB3FFB"/>
    <w:rsid w:val="00CB4D64"/>
    <w:rsid w:val="00CC0ABF"/>
    <w:rsid w:val="00CD23E4"/>
    <w:rsid w:val="00CE0A18"/>
    <w:rsid w:val="00CE48F7"/>
    <w:rsid w:val="00CE68FB"/>
    <w:rsid w:val="00CE7A35"/>
    <w:rsid w:val="00CF2F49"/>
    <w:rsid w:val="00CF4310"/>
    <w:rsid w:val="00CF5E15"/>
    <w:rsid w:val="00CF5E1B"/>
    <w:rsid w:val="00D028F1"/>
    <w:rsid w:val="00D06470"/>
    <w:rsid w:val="00D079DA"/>
    <w:rsid w:val="00D13307"/>
    <w:rsid w:val="00D150A2"/>
    <w:rsid w:val="00D15F0A"/>
    <w:rsid w:val="00D334E0"/>
    <w:rsid w:val="00D3477D"/>
    <w:rsid w:val="00D373DC"/>
    <w:rsid w:val="00D40DA5"/>
    <w:rsid w:val="00D41CE5"/>
    <w:rsid w:val="00D473EA"/>
    <w:rsid w:val="00D507E3"/>
    <w:rsid w:val="00D519B9"/>
    <w:rsid w:val="00D62446"/>
    <w:rsid w:val="00D655BF"/>
    <w:rsid w:val="00D67FD5"/>
    <w:rsid w:val="00D73942"/>
    <w:rsid w:val="00D76BF2"/>
    <w:rsid w:val="00D8010E"/>
    <w:rsid w:val="00D85167"/>
    <w:rsid w:val="00D92E36"/>
    <w:rsid w:val="00DA2CA0"/>
    <w:rsid w:val="00DA5186"/>
    <w:rsid w:val="00DA63CB"/>
    <w:rsid w:val="00DB1D8F"/>
    <w:rsid w:val="00DB4B66"/>
    <w:rsid w:val="00DB5994"/>
    <w:rsid w:val="00DC18E8"/>
    <w:rsid w:val="00DC3793"/>
    <w:rsid w:val="00DC6E3B"/>
    <w:rsid w:val="00DC7BD1"/>
    <w:rsid w:val="00DD0AA9"/>
    <w:rsid w:val="00DD1122"/>
    <w:rsid w:val="00DD198A"/>
    <w:rsid w:val="00DD3282"/>
    <w:rsid w:val="00DD3355"/>
    <w:rsid w:val="00DE4474"/>
    <w:rsid w:val="00DE4E9F"/>
    <w:rsid w:val="00DE5EC5"/>
    <w:rsid w:val="00DE6436"/>
    <w:rsid w:val="00DE74EB"/>
    <w:rsid w:val="00DE77AF"/>
    <w:rsid w:val="00DF58A0"/>
    <w:rsid w:val="00DF6D04"/>
    <w:rsid w:val="00E01BC3"/>
    <w:rsid w:val="00E026AD"/>
    <w:rsid w:val="00E02EA5"/>
    <w:rsid w:val="00E16E1C"/>
    <w:rsid w:val="00E17D50"/>
    <w:rsid w:val="00E243E5"/>
    <w:rsid w:val="00E255F0"/>
    <w:rsid w:val="00E276C8"/>
    <w:rsid w:val="00E309CF"/>
    <w:rsid w:val="00E3345B"/>
    <w:rsid w:val="00E37768"/>
    <w:rsid w:val="00E53790"/>
    <w:rsid w:val="00E55A3C"/>
    <w:rsid w:val="00E56695"/>
    <w:rsid w:val="00E71C24"/>
    <w:rsid w:val="00E74FE0"/>
    <w:rsid w:val="00E85AC3"/>
    <w:rsid w:val="00E9063D"/>
    <w:rsid w:val="00E92CDC"/>
    <w:rsid w:val="00EA12C2"/>
    <w:rsid w:val="00EA7594"/>
    <w:rsid w:val="00EC2621"/>
    <w:rsid w:val="00ED0581"/>
    <w:rsid w:val="00ED0DDA"/>
    <w:rsid w:val="00ED20C0"/>
    <w:rsid w:val="00EE005A"/>
    <w:rsid w:val="00EE451F"/>
    <w:rsid w:val="00EE79F5"/>
    <w:rsid w:val="00F00A97"/>
    <w:rsid w:val="00F057DC"/>
    <w:rsid w:val="00F05BA2"/>
    <w:rsid w:val="00F06EE2"/>
    <w:rsid w:val="00F11ED0"/>
    <w:rsid w:val="00F137CA"/>
    <w:rsid w:val="00F20505"/>
    <w:rsid w:val="00F2707C"/>
    <w:rsid w:val="00F3635C"/>
    <w:rsid w:val="00F40D89"/>
    <w:rsid w:val="00F4227B"/>
    <w:rsid w:val="00F42820"/>
    <w:rsid w:val="00F525CB"/>
    <w:rsid w:val="00F54C5A"/>
    <w:rsid w:val="00F600E2"/>
    <w:rsid w:val="00F62C42"/>
    <w:rsid w:val="00F66097"/>
    <w:rsid w:val="00F753AD"/>
    <w:rsid w:val="00F77EDD"/>
    <w:rsid w:val="00F80184"/>
    <w:rsid w:val="00F82198"/>
    <w:rsid w:val="00F82B4B"/>
    <w:rsid w:val="00F8550F"/>
    <w:rsid w:val="00F85D0B"/>
    <w:rsid w:val="00F86F85"/>
    <w:rsid w:val="00F926BA"/>
    <w:rsid w:val="00FA057E"/>
    <w:rsid w:val="00FA2C51"/>
    <w:rsid w:val="00FA5188"/>
    <w:rsid w:val="00FA5C12"/>
    <w:rsid w:val="00FA6491"/>
    <w:rsid w:val="00FB0DFC"/>
    <w:rsid w:val="00FB7267"/>
    <w:rsid w:val="00FC0EE4"/>
    <w:rsid w:val="00FC1592"/>
    <w:rsid w:val="00FC5355"/>
    <w:rsid w:val="00FC745C"/>
    <w:rsid w:val="00FD1D37"/>
    <w:rsid w:val="00FD21C5"/>
    <w:rsid w:val="00FE307D"/>
    <w:rsid w:val="00FF0A71"/>
    <w:rsid w:val="31D6C84E"/>
    <w:rsid w:val="7ADA12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FF422"/>
  <w15:chartTrackingRefBased/>
  <w15:docId w15:val="{4BA4BFB8-19D2-4E16-BDDD-9F44FE43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E8"/>
    <w:pPr>
      <w:spacing w:before="120" w:after="120"/>
    </w:pPr>
    <w:rPr>
      <w:rFonts w:ascii="Archer Book" w:hAnsi="Archer Book"/>
      <w:sz w:val="22"/>
      <w:szCs w:val="24"/>
      <w:lang w:eastAsia="en-GB"/>
    </w:rPr>
  </w:style>
  <w:style w:type="paragraph" w:styleId="Heading1">
    <w:name w:val="heading 1"/>
    <w:basedOn w:val="Normal"/>
    <w:next w:val="Body"/>
    <w:autoRedefine/>
    <w:qFormat/>
    <w:rsid w:val="0001587A"/>
    <w:pPr>
      <w:keepNext/>
      <w:spacing w:before="240" w:after="60"/>
      <w:outlineLvl w:val="0"/>
    </w:pPr>
    <w:rPr>
      <w:rFonts w:ascii="Archer Bold" w:hAnsi="Archer Bold" w:cs="Arial"/>
      <w:bCs/>
      <w:kern w:val="32"/>
      <w:sz w:val="36"/>
      <w:szCs w:val="32"/>
    </w:rPr>
  </w:style>
  <w:style w:type="paragraph" w:styleId="Heading2">
    <w:name w:val="heading 2"/>
    <w:basedOn w:val="Normal"/>
    <w:next w:val="Body"/>
    <w:qFormat/>
    <w:rsid w:val="0001587A"/>
    <w:pPr>
      <w:keepNext/>
      <w:spacing w:before="240" w:after="60"/>
      <w:outlineLvl w:val="1"/>
    </w:pPr>
    <w:rPr>
      <w:rFonts w:ascii="Archer Semibold" w:hAnsi="Archer Semibold" w:cs="Arial"/>
      <w:bCs/>
      <w:i/>
      <w:iCs/>
      <w:sz w:val="32"/>
      <w:szCs w:val="28"/>
    </w:rPr>
  </w:style>
  <w:style w:type="paragraph" w:styleId="Heading3">
    <w:name w:val="heading 3"/>
    <w:basedOn w:val="Normal"/>
    <w:next w:val="Body"/>
    <w:link w:val="Heading3Char"/>
    <w:qFormat/>
    <w:rsid w:val="008D034F"/>
    <w:pPr>
      <w:keepNext/>
      <w:spacing w:before="240"/>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1587A"/>
  </w:style>
  <w:style w:type="paragraph" w:customStyle="1" w:styleId="Boxedbullet">
    <w:name w:val="Boxed bullet"/>
    <w:basedOn w:val="Normal"/>
    <w:rsid w:val="00993274"/>
    <w:pPr>
      <w:numPr>
        <w:numId w:val="1"/>
      </w:numPr>
    </w:pPr>
  </w:style>
  <w:style w:type="paragraph" w:styleId="Header">
    <w:name w:val="header"/>
    <w:basedOn w:val="Normal"/>
    <w:link w:val="HeaderChar"/>
    <w:uiPriority w:val="99"/>
    <w:rsid w:val="00D76BF2"/>
    <w:pPr>
      <w:tabs>
        <w:tab w:val="center" w:pos="4153"/>
        <w:tab w:val="right" w:pos="8306"/>
      </w:tabs>
    </w:pPr>
  </w:style>
  <w:style w:type="paragraph" w:styleId="Footer">
    <w:name w:val="footer"/>
    <w:basedOn w:val="Normal"/>
    <w:rsid w:val="00D76BF2"/>
    <w:pPr>
      <w:tabs>
        <w:tab w:val="center" w:pos="4153"/>
        <w:tab w:val="right" w:pos="8306"/>
      </w:tabs>
    </w:pPr>
  </w:style>
  <w:style w:type="table" w:styleId="TableGrid">
    <w:name w:val="Table Grid"/>
    <w:basedOn w:val="TableNormal"/>
    <w:uiPriority w:val="39"/>
    <w:rsid w:val="0066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507E3"/>
    <w:rPr>
      <w:color w:val="0563C1" w:themeColor="hyperlink"/>
      <w:u w:val="single"/>
    </w:rPr>
  </w:style>
  <w:style w:type="character" w:styleId="UnresolvedMention">
    <w:name w:val="Unresolved Mention"/>
    <w:basedOn w:val="DefaultParagraphFont"/>
    <w:uiPriority w:val="99"/>
    <w:semiHidden/>
    <w:unhideWhenUsed/>
    <w:rsid w:val="00D507E3"/>
    <w:rPr>
      <w:color w:val="605E5C"/>
      <w:shd w:val="clear" w:color="auto" w:fill="E1DFDD"/>
    </w:rPr>
  </w:style>
  <w:style w:type="paragraph" w:styleId="BodyText">
    <w:name w:val="Body Text"/>
    <w:basedOn w:val="Normal"/>
    <w:link w:val="BodyTextChar"/>
    <w:uiPriority w:val="1"/>
    <w:qFormat/>
    <w:rsid w:val="00A145B5"/>
    <w:pPr>
      <w:widowControl w:val="0"/>
      <w:autoSpaceDE w:val="0"/>
      <w:autoSpaceDN w:val="0"/>
      <w:spacing w:before="0" w:after="0"/>
    </w:pPr>
    <w:rPr>
      <w:rFonts w:ascii="Arial" w:eastAsia="Arial" w:hAnsi="Arial" w:cs="Arial"/>
      <w:sz w:val="24"/>
      <w:lang w:val="en-US" w:eastAsia="en-US"/>
    </w:rPr>
  </w:style>
  <w:style w:type="character" w:customStyle="1" w:styleId="BodyTextChar">
    <w:name w:val="Body Text Char"/>
    <w:basedOn w:val="DefaultParagraphFont"/>
    <w:link w:val="BodyText"/>
    <w:uiPriority w:val="1"/>
    <w:rsid w:val="00A145B5"/>
    <w:rPr>
      <w:rFonts w:ascii="Arial" w:eastAsia="Arial" w:hAnsi="Arial" w:cs="Arial"/>
      <w:sz w:val="24"/>
      <w:szCs w:val="24"/>
      <w:lang w:val="en-US" w:eastAsia="en-US"/>
    </w:rPr>
  </w:style>
  <w:style w:type="paragraph" w:customStyle="1" w:styleId="TableParagraph">
    <w:name w:val="Table Paragraph"/>
    <w:basedOn w:val="Normal"/>
    <w:uiPriority w:val="1"/>
    <w:qFormat/>
    <w:rsid w:val="00A145B5"/>
    <w:pPr>
      <w:widowControl w:val="0"/>
      <w:autoSpaceDE w:val="0"/>
      <w:autoSpaceDN w:val="0"/>
      <w:spacing w:before="0" w:after="0"/>
    </w:pPr>
    <w:rPr>
      <w:rFonts w:ascii="Arial" w:eastAsia="Arial" w:hAnsi="Arial" w:cs="Arial"/>
      <w:szCs w:val="22"/>
      <w:lang w:val="en-US" w:eastAsia="en-US"/>
    </w:rPr>
  </w:style>
  <w:style w:type="character" w:styleId="CommentReference">
    <w:name w:val="annotation reference"/>
    <w:basedOn w:val="DefaultParagraphFont"/>
    <w:uiPriority w:val="99"/>
    <w:rsid w:val="002F2D51"/>
    <w:rPr>
      <w:sz w:val="16"/>
      <w:szCs w:val="16"/>
    </w:rPr>
  </w:style>
  <w:style w:type="paragraph" w:styleId="CommentText">
    <w:name w:val="annotation text"/>
    <w:basedOn w:val="Normal"/>
    <w:link w:val="CommentTextChar"/>
    <w:rsid w:val="002F2D51"/>
    <w:rPr>
      <w:sz w:val="20"/>
      <w:szCs w:val="20"/>
    </w:rPr>
  </w:style>
  <w:style w:type="character" w:customStyle="1" w:styleId="CommentTextChar">
    <w:name w:val="Comment Text Char"/>
    <w:basedOn w:val="DefaultParagraphFont"/>
    <w:link w:val="CommentText"/>
    <w:rsid w:val="002F2D51"/>
    <w:rPr>
      <w:rFonts w:ascii="Archer Book" w:hAnsi="Archer Book"/>
      <w:lang w:eastAsia="en-GB"/>
    </w:rPr>
  </w:style>
  <w:style w:type="paragraph" w:styleId="CommentSubject">
    <w:name w:val="annotation subject"/>
    <w:basedOn w:val="CommentText"/>
    <w:next w:val="CommentText"/>
    <w:link w:val="CommentSubjectChar"/>
    <w:rsid w:val="002F2D51"/>
    <w:rPr>
      <w:b/>
      <w:bCs/>
    </w:rPr>
  </w:style>
  <w:style w:type="character" w:customStyle="1" w:styleId="CommentSubjectChar">
    <w:name w:val="Comment Subject Char"/>
    <w:basedOn w:val="CommentTextChar"/>
    <w:link w:val="CommentSubject"/>
    <w:rsid w:val="002F2D51"/>
    <w:rPr>
      <w:rFonts w:ascii="Archer Book" w:hAnsi="Archer Book"/>
      <w:b/>
      <w:bCs/>
      <w:lang w:eastAsia="en-GB"/>
    </w:rPr>
  </w:style>
  <w:style w:type="character" w:customStyle="1" w:styleId="Heading3Char">
    <w:name w:val="Heading 3 Char"/>
    <w:basedOn w:val="DefaultParagraphFont"/>
    <w:link w:val="Heading3"/>
    <w:rsid w:val="00E02EA5"/>
    <w:rPr>
      <w:rFonts w:ascii="Archer Book" w:hAnsi="Archer Book" w:cs="Arial"/>
      <w:b/>
      <w:bCs/>
      <w:sz w:val="24"/>
      <w:szCs w:val="26"/>
      <w:lang w:eastAsia="en-GB"/>
    </w:rPr>
  </w:style>
  <w:style w:type="paragraph" w:styleId="Revision">
    <w:name w:val="Revision"/>
    <w:hidden/>
    <w:uiPriority w:val="99"/>
    <w:semiHidden/>
    <w:rsid w:val="0009346F"/>
    <w:rPr>
      <w:rFonts w:ascii="Archer Book" w:hAnsi="Archer Book"/>
      <w:sz w:val="22"/>
      <w:szCs w:val="24"/>
      <w:lang w:eastAsia="en-GB"/>
    </w:rPr>
  </w:style>
  <w:style w:type="paragraph" w:styleId="ListParagraph">
    <w:name w:val="List Paragraph"/>
    <w:basedOn w:val="Normal"/>
    <w:uiPriority w:val="34"/>
    <w:qFormat/>
    <w:rsid w:val="009D1AB4"/>
    <w:pPr>
      <w:ind w:left="720"/>
      <w:contextualSpacing/>
    </w:pPr>
  </w:style>
  <w:style w:type="character" w:customStyle="1" w:styleId="HeaderChar">
    <w:name w:val="Header Char"/>
    <w:basedOn w:val="DefaultParagraphFont"/>
    <w:link w:val="Header"/>
    <w:uiPriority w:val="99"/>
    <w:rsid w:val="00DF6D04"/>
    <w:rPr>
      <w:rFonts w:ascii="Archer Book" w:hAnsi="Archer Book"/>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DOC%20Templates\Basic%20A4%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E61EA4-5F21-4C09-A1C2-468C2348752B}">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BB5B2A03B7B4C892EF74F2014375B" ma:contentTypeVersion="15" ma:contentTypeDescription="Create a new document." ma:contentTypeScope="" ma:versionID="2052f51e2328e7706060a59c55a8cfff">
  <xsd:schema xmlns:xsd="http://www.w3.org/2001/XMLSchema" xmlns:xs="http://www.w3.org/2001/XMLSchema" xmlns:p="http://schemas.microsoft.com/office/2006/metadata/properties" xmlns:ns3="fb95b97c-ad4f-4284-9c86-d43af396149d" xmlns:ns4="8bde14da-5778-4028-add8-6e1afe4b2cc0" targetNamespace="http://schemas.microsoft.com/office/2006/metadata/properties" ma:root="true" ma:fieldsID="c7a37b4bf2d6e80c71d735249a13ce95" ns3:_="" ns4:_="">
    <xsd:import namespace="fb95b97c-ad4f-4284-9c86-d43af396149d"/>
    <xsd:import namespace="8bde14da-5778-4028-add8-6e1afe4b2c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5b97c-ad4f-4284-9c86-d43af3961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e14da-5778-4028-add8-6e1afe4b2c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file>

<file path=customXml/item3.xml><?xml version="1.0" encoding="utf-8"?>
<p:properties xmlns:p="http://schemas.microsoft.com/office/2006/metadata/properties" xmlns:pc="http://schemas.microsoft.com/office/infopath/2007/PartnerControls" xmlns:xsi="http://www.w3.org/2001/XMLSchema-instance">
  <documentManagement>
    <_activity xmlns="fb95b97c-ad4f-4284-9c86-d43af39614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214EC-0B60-42CE-9767-E052FFC50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5b97c-ad4f-4284-9c86-d43af396149d"/>
    <ds:schemaRef ds:uri="8bde14da-5778-4028-add8-6e1afe4b2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AE733-978B-4A73-83DA-DD9C48A86C10}">
  <ds:schemaRefs>
    <ds:schemaRef ds:uri="http://schemas.openxmlformats.org/officeDocument/2006/bibliography"/>
  </ds:schemaRefs>
</ds:datastoreItem>
</file>

<file path=customXml/itemProps3.xml><?xml version="1.0" encoding="utf-8"?>
<ds:datastoreItem xmlns:ds="http://schemas.openxmlformats.org/officeDocument/2006/customXml" ds:itemID="{B50F2EAC-A197-458D-8AAF-D342D6E7AF1D}">
  <ds:schemaRefs>
    <ds:schemaRef ds:uri="http://schemas.microsoft.com/office/infopath/2007/PartnerControls"/>
    <ds:schemaRef ds:uri="http://purl.org/dc/elements/1.1/"/>
    <ds:schemaRef ds:uri="http://schemas.microsoft.com/office/2006/metadata/properties"/>
    <ds:schemaRef ds:uri="fb95b97c-ad4f-4284-9c86-d43af396149d"/>
    <ds:schemaRef ds:uri="http://purl.org/dc/terms/"/>
    <ds:schemaRef ds:uri="http://schemas.microsoft.com/office/2006/documentManagement/types"/>
    <ds:schemaRef ds:uri="8bde14da-5778-4028-add8-6e1afe4b2cc0"/>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78D2999-B912-406A-9765-4A3B15B46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A4 - 1</Template>
  <TotalTime>0</TotalTime>
  <Pages>5</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Conservation</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Moore</dc:creator>
  <cp:keywords/>
  <dc:description/>
  <cp:lastModifiedBy>Shannon Davis</cp:lastModifiedBy>
  <cp:revision>2</cp:revision>
  <cp:lastPrinted>2022-05-18T03:21:00Z</cp:lastPrinted>
  <dcterms:created xsi:type="dcterms:W3CDTF">2024-05-27T21:58:00Z</dcterms:created>
  <dcterms:modified xsi:type="dcterms:W3CDTF">2024-05-27T21:58:00Z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0x010100D8ABB5B2A03B7B4C892EF74F2014375B</vt:lpwstr>
  </property>
  <property fmtid="{D5CDD505-2E9C-101B-9397-08002B2CF9AE}" pid="3" name="MediaServiceImageTags">
    <vt:lpwstr/>
  </property>
</Properties>
</file>